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B9" w:rsidRPr="002516B9" w:rsidRDefault="002516B9" w:rsidP="002516B9">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516B9" w:rsidRDefault="002516B9" w:rsidP="00C01D35">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243195" w:rsidRDefault="00243195"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A27B26" w:rsidRDefault="00A27B26" w:rsidP="00243195">
      <w:pPr>
        <w:spacing w:after="200" w:line="276" w:lineRule="auto"/>
        <w:jc w:val="right"/>
        <w:rPr>
          <w:rFonts w:ascii="Calibri" w:eastAsia="Calibri" w:hAnsi="Calibri" w:cs="Calibri"/>
        </w:rPr>
      </w:pPr>
    </w:p>
    <w:p w:rsidR="00A27B26" w:rsidRPr="00243195" w:rsidRDefault="00A27B26" w:rsidP="00243195">
      <w:pPr>
        <w:spacing w:after="200" w:line="276" w:lineRule="auto"/>
        <w:jc w:val="right"/>
        <w:rPr>
          <w:rFonts w:ascii="Calibri" w:eastAsia="Calibri" w:hAnsi="Calibri" w:cs="Calibri"/>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на оказание</w:t>
      </w:r>
      <w:r w:rsidR="00243195" w:rsidRPr="00243195">
        <w:rPr>
          <w:rFonts w:ascii="Times New Roman" w:eastAsia="Times New Roman" w:hAnsi="Times New Roman" w:cs="Times New Roman"/>
          <w:sz w:val="26"/>
          <w:szCs w:val="26"/>
          <w:lang w:eastAsia="ru-RU"/>
        </w:rPr>
        <w:t xml:space="preserve"> услуг по технической поддержке коммутаторов SN6500</w:t>
      </w:r>
    </w:p>
    <w:p w:rsidR="00243195" w:rsidRPr="002516B9" w:rsidRDefault="00243195"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3-12T00:00:00Z">
          <w:dateFormat w:val="«dd» MMMM yyyy 'года'"/>
          <w:lid w:val="ru-RU"/>
          <w:storeMappedDataAs w:val="dateTime"/>
          <w:calendar w:val="gregorian"/>
        </w:date>
      </w:sdtPr>
      <w:sdtContent>
        <w:p w:rsidR="002516B9" w:rsidRPr="002516B9" w:rsidRDefault="00444804"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марта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3"/>
            <w:rFonts w:ascii="Times New Roman" w:eastAsia="Calibri" w:hAnsi="Times New Roman" w:cs="Times New Roman"/>
            <w:iCs/>
            <w:sz w:val="24"/>
            <w:szCs w:val="24"/>
          </w:rPr>
          <w:t>http</w:t>
        </w:r>
        <w:r w:rsidR="00BB70C0" w:rsidRPr="005B2EBC">
          <w:rPr>
            <w:rStyle w:val="a3"/>
            <w:rFonts w:ascii="Times New Roman" w:eastAsia="Calibri" w:hAnsi="Times New Roman" w:cs="Times New Roman"/>
            <w:iCs/>
            <w:sz w:val="24"/>
            <w:szCs w:val="24"/>
            <w:lang w:val="en-US"/>
          </w:rPr>
          <w:t>s</w:t>
        </w:r>
        <w:r w:rsidR="00BB70C0" w:rsidRPr="005B2EBC">
          <w:rPr>
            <w:rStyle w:val="a3"/>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3"/>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3"/>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Pr="002516B9"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w:t>
        </w:r>
        <w:r w:rsidRPr="002516B9">
          <w:rPr>
            <w:rFonts w:ascii="Times New Roman" w:eastAsia="MS Mincho" w:hAnsi="Times New Roman" w:cs="Times New Roman"/>
            <w:noProof/>
            <w:color w:val="0000FF"/>
            <w:kern w:val="32"/>
            <w:sz w:val="24"/>
            <w:szCs w:val="24"/>
            <w:u w:val="single"/>
            <w:lang w:val="x-none" w:eastAsia="x-none"/>
          </w:rPr>
          <w:t>К</w:t>
        </w:r>
        <w:r w:rsidRPr="002516B9">
          <w:rPr>
            <w:rFonts w:ascii="Times New Roman" w:eastAsia="MS Mincho" w:hAnsi="Times New Roman" w:cs="Times New Roman"/>
            <w:noProof/>
            <w:color w:val="0000FF"/>
            <w:kern w:val="32"/>
            <w:sz w:val="24"/>
            <w:szCs w:val="24"/>
            <w:u w:val="single"/>
            <w:lang w:val="x-none" w:eastAsia="x-none"/>
          </w:rPr>
          <w:t>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w:t>
        </w:r>
        <w:r w:rsidR="002516B9" w:rsidRPr="002516B9">
          <w:rPr>
            <w:rFonts w:ascii="Times New Roman" w:eastAsia="MS Mincho" w:hAnsi="Times New Roman" w:cs="Times New Roman"/>
            <w:noProof/>
            <w:color w:val="0000FF"/>
            <w:kern w:val="32"/>
            <w:sz w:val="24"/>
            <w:szCs w:val="24"/>
            <w:u w:val="single"/>
            <w:lang w:eastAsia="x-none"/>
          </w:rPr>
          <w:t>К</w:t>
        </w:r>
        <w:r w:rsidR="002516B9" w:rsidRPr="002516B9">
          <w:rPr>
            <w:rFonts w:ascii="Times New Roman" w:eastAsia="MS Mincho" w:hAnsi="Times New Roman" w:cs="Times New Roman"/>
            <w:noProof/>
            <w:color w:val="0000FF"/>
            <w:kern w:val="32"/>
            <w:sz w:val="24"/>
            <w:szCs w:val="24"/>
            <w:u w:val="single"/>
            <w:lang w:eastAsia="x-none"/>
          </w:rPr>
          <w:t>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val="x-none" w:eastAsia="x-none"/>
          </w:rPr>
          <w:t>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w:t>
        </w:r>
        <w:r w:rsidR="002516B9" w:rsidRPr="002516B9">
          <w:rPr>
            <w:rFonts w:ascii="Times New Roman" w:eastAsia="MS Mincho" w:hAnsi="Times New Roman" w:cs="Times New Roman"/>
            <w:noProof/>
            <w:color w:val="0000FF"/>
            <w:kern w:val="32"/>
            <w:sz w:val="24"/>
            <w:szCs w:val="24"/>
            <w:u w:val="single"/>
            <w:lang w:eastAsia="x-none"/>
          </w:rPr>
          <w:t>Ц</w:t>
        </w:r>
        <w:r w:rsidR="002516B9" w:rsidRPr="002516B9">
          <w:rPr>
            <w:rFonts w:ascii="Times New Roman" w:eastAsia="MS Mincho" w:hAnsi="Times New Roman" w:cs="Times New Roman"/>
            <w:noProof/>
            <w:color w:val="0000FF"/>
            <w:kern w:val="32"/>
            <w:sz w:val="24"/>
            <w:szCs w:val="24"/>
            <w:u w:val="single"/>
            <w:lang w:eastAsia="x-none"/>
          </w:rPr>
          <w:t>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w:t>
        </w:r>
        <w:r w:rsidR="002516B9" w:rsidRPr="002516B9">
          <w:rPr>
            <w:rFonts w:ascii="Times New Roman" w:eastAsia="MS Mincho" w:hAnsi="Times New Roman" w:cs="Times New Roman"/>
            <w:b/>
            <w:i/>
            <w:iCs/>
            <w:noProof/>
            <w:color w:val="0000FF"/>
            <w:sz w:val="24"/>
            <w:szCs w:val="24"/>
            <w:u w:val="single"/>
            <w:lang w:val="x-none" w:eastAsia="x-none"/>
          </w:rPr>
          <w:t xml:space="preserve"> </w:t>
        </w:r>
        <w:r w:rsidR="002516B9" w:rsidRPr="002516B9">
          <w:rPr>
            <w:rFonts w:ascii="Times New Roman" w:eastAsia="MS Mincho" w:hAnsi="Times New Roman" w:cs="Times New Roman"/>
            <w:b/>
            <w:i/>
            <w:iCs/>
            <w:noProof/>
            <w:color w:val="0000FF"/>
            <w:sz w:val="24"/>
            <w:szCs w:val="24"/>
            <w:u w:val="single"/>
            <w:lang w:val="x-none" w:eastAsia="x-none"/>
          </w:rPr>
          <w:t>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7F7D3F">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A27B26"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 xml:space="preserve">2.2. Требования к </w:t>
        </w:r>
        <w:r w:rsidR="002516B9" w:rsidRPr="002516B9">
          <w:rPr>
            <w:rFonts w:ascii="Times New Roman" w:eastAsia="MS Mincho" w:hAnsi="Times New Roman" w:cs="Times New Roman"/>
            <w:b/>
            <w:i/>
            <w:iCs/>
            <w:noProof/>
            <w:color w:val="0000FF"/>
            <w:sz w:val="24"/>
            <w:szCs w:val="24"/>
            <w:u w:val="single"/>
            <w:lang w:val="x-none" w:eastAsia="x-none"/>
          </w:rPr>
          <w:t>З</w:t>
        </w:r>
        <w:r w:rsidR="002516B9" w:rsidRPr="002516B9">
          <w:rPr>
            <w:rFonts w:ascii="Times New Roman" w:eastAsia="MS Mincho" w:hAnsi="Times New Roman" w:cs="Times New Roman"/>
            <w:b/>
            <w:i/>
            <w:iCs/>
            <w:noProof/>
            <w:color w:val="0000FF"/>
            <w:sz w:val="24"/>
            <w:szCs w:val="24"/>
            <w:u w:val="single"/>
            <w:lang w:val="x-none" w:eastAsia="x-none"/>
          </w:rPr>
          <w:t>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_Toc528762723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7F7D3F">
          <w:rPr>
            <w:rFonts w:ascii="Times New Roman" w:eastAsia="MS Mincho" w:hAnsi="Times New Roman" w:cs="Times New Roman"/>
            <w:b/>
            <w:i/>
            <w:iCs/>
            <w:noProof/>
            <w:webHidden/>
            <w:sz w:val="24"/>
            <w:szCs w:val="24"/>
            <w:lang w:val="x-none" w:eastAsia="x-none"/>
          </w:rPr>
          <w:t>20</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A27B26"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w:t>
        </w:r>
        <w:r w:rsidR="002516B9" w:rsidRPr="002516B9">
          <w:rPr>
            <w:rFonts w:ascii="Times New Roman" w:eastAsia="MS Mincho" w:hAnsi="Times New Roman" w:cs="Times New Roman"/>
            <w:b/>
            <w:i/>
            <w:iCs/>
            <w:noProof/>
            <w:color w:val="0000FF"/>
            <w:sz w:val="24"/>
            <w:szCs w:val="24"/>
            <w:u w:val="single"/>
            <w:lang w:val="x-none" w:eastAsia="x-none"/>
          </w:rPr>
          <w:t>ю</w:t>
        </w:r>
        <w:r w:rsidR="002516B9" w:rsidRPr="002516B9">
          <w:rPr>
            <w:rFonts w:ascii="Times New Roman" w:eastAsia="MS Mincho" w:hAnsi="Times New Roman" w:cs="Times New Roman"/>
            <w:b/>
            <w:i/>
            <w:iCs/>
            <w:noProof/>
            <w:color w:val="0000FF"/>
            <w:sz w:val="24"/>
            <w:szCs w:val="24"/>
            <w:u w:val="single"/>
            <w:lang w:val="x-none" w:eastAsia="x-none"/>
          </w:rPr>
          <w:t>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_Toc528762724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7F7D3F">
          <w:rPr>
            <w:rFonts w:ascii="Times New Roman" w:eastAsia="MS Mincho" w:hAnsi="Times New Roman" w:cs="Times New Roman"/>
            <w:b/>
            <w:i/>
            <w:iCs/>
            <w:noProof/>
            <w:webHidden/>
            <w:sz w:val="24"/>
            <w:szCs w:val="24"/>
            <w:lang w:val="x-none" w:eastAsia="x-none"/>
          </w:rPr>
          <w:t>27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РАЗДЕЛ III. Ф</w:t>
        </w:r>
        <w:r w:rsidR="002516B9" w:rsidRPr="002516B9">
          <w:rPr>
            <w:rFonts w:ascii="Times New Roman" w:eastAsia="MS Mincho" w:hAnsi="Times New Roman" w:cs="Times New Roman"/>
            <w:noProof/>
            <w:color w:val="0000FF"/>
            <w:kern w:val="32"/>
            <w:sz w:val="24"/>
            <w:szCs w:val="24"/>
            <w:u w:val="single"/>
            <w:lang w:val="x-none" w:eastAsia="x-none"/>
          </w:rPr>
          <w:t>О</w:t>
        </w:r>
        <w:r w:rsidR="002516B9" w:rsidRPr="002516B9">
          <w:rPr>
            <w:rFonts w:ascii="Times New Roman" w:eastAsia="MS Mincho" w:hAnsi="Times New Roman" w:cs="Times New Roman"/>
            <w:noProof/>
            <w:color w:val="0000FF"/>
            <w:kern w:val="32"/>
            <w:sz w:val="24"/>
            <w:szCs w:val="24"/>
            <w:u w:val="single"/>
            <w:lang w:val="x-none" w:eastAsia="x-none"/>
          </w:rPr>
          <w:t>РМЫ ДЛЯ ЗАПОЛНЕН</w:t>
        </w:r>
        <w:r w:rsidR="002516B9" w:rsidRPr="002516B9">
          <w:rPr>
            <w:rFonts w:ascii="Times New Roman" w:eastAsia="MS Mincho" w:hAnsi="Times New Roman" w:cs="Times New Roman"/>
            <w:noProof/>
            <w:color w:val="0000FF"/>
            <w:kern w:val="32"/>
            <w:sz w:val="24"/>
            <w:szCs w:val="24"/>
            <w:u w:val="single"/>
            <w:lang w:val="x-none" w:eastAsia="x-none"/>
          </w:rPr>
          <w:t>И</w:t>
        </w:r>
        <w:r w:rsidR="002516B9" w:rsidRPr="002516B9">
          <w:rPr>
            <w:rFonts w:ascii="Times New Roman" w:eastAsia="MS Mincho" w:hAnsi="Times New Roman" w:cs="Times New Roman"/>
            <w:noProof/>
            <w:color w:val="0000FF"/>
            <w:kern w:val="32"/>
            <w:sz w:val="24"/>
            <w:szCs w:val="24"/>
            <w:u w:val="single"/>
            <w:lang w:val="x-none" w:eastAsia="x-none"/>
          </w:rPr>
          <w:t>Я УЧАСТНИКАМИ ЗАКУПКИ</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_Toc528762725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АЯВКА НА УЧАСТИЕ В ОТКРЫ</w:t>
        </w:r>
        <w:r w:rsidR="002516B9" w:rsidRPr="002516B9">
          <w:rPr>
            <w:rFonts w:ascii="Times New Roman" w:eastAsia="MS Mincho" w:hAnsi="Times New Roman" w:cs="Times New Roman"/>
            <w:noProof/>
            <w:color w:val="0000FF"/>
            <w:kern w:val="32"/>
            <w:sz w:val="24"/>
            <w:szCs w:val="24"/>
            <w:u w:val="single"/>
            <w:lang w:val="x-none" w:eastAsia="x-none"/>
          </w:rPr>
          <w:t>Т</w:t>
        </w:r>
        <w:r w:rsidR="002516B9" w:rsidRPr="002516B9">
          <w:rPr>
            <w:rFonts w:ascii="Times New Roman" w:eastAsia="MS Mincho" w:hAnsi="Times New Roman" w:cs="Times New Roman"/>
            <w:noProof/>
            <w:color w:val="0000FF"/>
            <w:kern w:val="32"/>
            <w:sz w:val="24"/>
            <w:szCs w:val="24"/>
            <w:u w:val="single"/>
            <w:lang w:val="x-none" w:eastAsia="x-none"/>
          </w:rPr>
          <w:t xml:space="preserve">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_Toc528762726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30</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w:t>
        </w:r>
        <w:r w:rsidR="002516B9" w:rsidRPr="002516B9">
          <w:rPr>
            <w:rFonts w:ascii="Times New Roman" w:eastAsia="MS Mincho" w:hAnsi="Times New Roman" w:cs="Times New Roman"/>
            <w:noProof/>
            <w:color w:val="0000FF"/>
            <w:kern w:val="32"/>
            <w:sz w:val="24"/>
            <w:szCs w:val="24"/>
            <w:u w:val="single"/>
            <w:lang w:eastAsia="x-none"/>
          </w:rPr>
          <w:t>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_Toc528762727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33</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w:t>
        </w:r>
        <w:r w:rsidR="002516B9" w:rsidRPr="002516B9">
          <w:rPr>
            <w:rFonts w:ascii="Times New Roman" w:eastAsia="MS Mincho" w:hAnsi="Times New Roman" w:cs="Times New Roman"/>
            <w:noProof/>
            <w:color w:val="0000FF"/>
            <w:kern w:val="32"/>
            <w:sz w:val="24"/>
            <w:szCs w:val="24"/>
            <w:u w:val="single"/>
            <w:lang w:val="x-none" w:eastAsia="x-none"/>
          </w:rPr>
          <w:t>Л</w:t>
        </w:r>
        <w:r w:rsidR="002516B9" w:rsidRPr="002516B9">
          <w:rPr>
            <w:rFonts w:ascii="Times New Roman" w:eastAsia="MS Mincho" w:hAnsi="Times New Roman" w:cs="Times New Roman"/>
            <w:noProof/>
            <w:color w:val="0000FF"/>
            <w:kern w:val="32"/>
            <w:sz w:val="24"/>
            <w:szCs w:val="24"/>
            <w:u w:val="single"/>
            <w:lang w:val="x-none" w:eastAsia="x-none"/>
          </w:rPr>
          <w:t>ОЖЕНИЕ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_Toc528762728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w:t>
        </w:r>
        <w:r w:rsidR="002516B9" w:rsidRPr="002516B9">
          <w:rPr>
            <w:rFonts w:ascii="Times New Roman" w:eastAsia="MS Mincho" w:hAnsi="Times New Roman" w:cs="Times New Roman"/>
            <w:noProof/>
            <w:color w:val="0000FF"/>
            <w:kern w:val="32"/>
            <w:sz w:val="24"/>
            <w:szCs w:val="24"/>
            <w:u w:val="single"/>
            <w:lang w:val="x-none" w:eastAsia="x-none"/>
          </w:rPr>
          <w:t>Р</w:t>
        </w:r>
        <w:r w:rsidR="002516B9" w:rsidRPr="002516B9">
          <w:rPr>
            <w:rFonts w:ascii="Times New Roman" w:eastAsia="MS Mincho" w:hAnsi="Times New Roman" w:cs="Times New Roman"/>
            <w:noProof/>
            <w:color w:val="0000FF"/>
            <w:kern w:val="32"/>
            <w:sz w:val="24"/>
            <w:szCs w:val="24"/>
            <w:u w:val="single"/>
            <w:lang w:val="x-none" w:eastAsia="x-none"/>
          </w:rPr>
          <w:t>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36</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Декларация о соответствии участника за</w:t>
        </w:r>
        <w:r w:rsidR="002516B9" w:rsidRPr="002516B9">
          <w:rPr>
            <w:rFonts w:ascii="Times New Roman" w:eastAsia="MS Mincho" w:hAnsi="Times New Roman" w:cs="Times New Roman"/>
            <w:noProof/>
            <w:color w:val="0000FF"/>
            <w:kern w:val="32"/>
            <w:sz w:val="24"/>
            <w:szCs w:val="24"/>
            <w:u w:val="single"/>
            <w:lang w:eastAsia="x-none"/>
          </w:rPr>
          <w:t>к</w:t>
        </w:r>
        <w:r w:rsidR="002516B9" w:rsidRPr="002516B9">
          <w:rPr>
            <w:rFonts w:ascii="Times New Roman" w:eastAsia="MS Mincho" w:hAnsi="Times New Roman" w:cs="Times New Roman"/>
            <w:noProof/>
            <w:color w:val="0000FF"/>
            <w:kern w:val="32"/>
            <w:sz w:val="24"/>
            <w:szCs w:val="24"/>
            <w:u w:val="single"/>
            <w:lang w:eastAsia="x-none"/>
          </w:rPr>
          <w:t xml:space="preserve">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37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Техническое за</w:t>
        </w:r>
        <w:r w:rsidR="002516B9" w:rsidRPr="002516B9">
          <w:rPr>
            <w:rFonts w:ascii="Times New Roman" w:eastAsia="MS Mincho" w:hAnsi="Times New Roman" w:cs="Times New Roman"/>
            <w:noProof/>
            <w:color w:val="0000FF"/>
            <w:kern w:val="32"/>
            <w:sz w:val="24"/>
            <w:szCs w:val="24"/>
            <w:u w:val="single"/>
            <w:lang w:val="x-none" w:eastAsia="x-none"/>
          </w:rPr>
          <w:t>д</w:t>
        </w:r>
        <w:r w:rsidR="002516B9" w:rsidRPr="002516B9">
          <w:rPr>
            <w:rFonts w:ascii="Times New Roman" w:eastAsia="MS Mincho" w:hAnsi="Times New Roman" w:cs="Times New Roman"/>
            <w:noProof/>
            <w:color w:val="0000FF"/>
            <w:kern w:val="32"/>
            <w:sz w:val="24"/>
            <w:szCs w:val="24"/>
            <w:u w:val="single"/>
            <w:lang w:val="x-none" w:eastAsia="x-none"/>
          </w:rPr>
          <w:t>а</w:t>
        </w:r>
        <w:r w:rsidR="002516B9" w:rsidRPr="002516B9">
          <w:rPr>
            <w:rFonts w:ascii="Times New Roman" w:eastAsia="MS Mincho" w:hAnsi="Times New Roman" w:cs="Times New Roman"/>
            <w:noProof/>
            <w:color w:val="0000FF"/>
            <w:kern w:val="32"/>
            <w:sz w:val="24"/>
            <w:szCs w:val="24"/>
            <w:u w:val="single"/>
            <w:lang w:val="x-none" w:eastAsia="x-none"/>
          </w:rPr>
          <w:t>ние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_Toc528762731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F7D3F">
          <w:rPr>
            <w:rFonts w:ascii="Times New Roman" w:eastAsia="Times New Roman" w:hAnsi="Times New Roman" w:cs="Times New Roman"/>
            <w:noProof/>
            <w:webHidden/>
            <w:sz w:val="24"/>
            <w:szCs w:val="24"/>
            <w:lang w:eastAsia="ru-RU"/>
          </w:rPr>
          <w:t>41</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A27B26"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Проект догов</w:t>
        </w:r>
        <w:r w:rsidR="002516B9" w:rsidRPr="002516B9">
          <w:rPr>
            <w:rFonts w:ascii="Times New Roman" w:eastAsia="MS Mincho" w:hAnsi="Times New Roman" w:cs="Times New Roman"/>
            <w:noProof/>
            <w:color w:val="0000FF"/>
            <w:kern w:val="32"/>
            <w:sz w:val="24"/>
            <w:szCs w:val="24"/>
            <w:u w:val="single"/>
            <w:lang w:val="x-none" w:eastAsia="x-none"/>
          </w:rPr>
          <w:t>о</w:t>
        </w:r>
        <w:r w:rsidR="002516B9" w:rsidRPr="002516B9">
          <w:rPr>
            <w:rFonts w:ascii="Times New Roman" w:eastAsia="MS Mincho" w:hAnsi="Times New Roman" w:cs="Times New Roman"/>
            <w:noProof/>
            <w:color w:val="0000FF"/>
            <w:kern w:val="32"/>
            <w:sz w:val="24"/>
            <w:szCs w:val="24"/>
            <w:u w:val="single"/>
            <w:lang w:val="x-none" w:eastAsia="x-none"/>
          </w:rPr>
          <w:t>р</w:t>
        </w:r>
        <w:r w:rsidR="002516B9" w:rsidRPr="002516B9">
          <w:rPr>
            <w:rFonts w:ascii="Times New Roman" w:eastAsia="MS Mincho" w:hAnsi="Times New Roman" w:cs="Times New Roman"/>
            <w:noProof/>
            <w:color w:val="0000FF"/>
            <w:kern w:val="32"/>
            <w:sz w:val="24"/>
            <w:szCs w:val="24"/>
            <w:u w:val="single"/>
            <w:lang w:val="x-none" w:eastAsia="x-none"/>
          </w:rPr>
          <w:t>а</w:t>
        </w:r>
        <w:r w:rsidR="002516B9" w:rsidRPr="002516B9">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49</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AA7156" w:rsidRPr="00AA7156">
        <w:rPr>
          <w:rFonts w:ascii="Times New Roman" w:eastAsia="Times New Roman" w:hAnsi="Times New Roman" w:cs="Times New Roman"/>
          <w:sz w:val="24"/>
          <w:szCs w:val="24"/>
          <w:lang w:eastAsia="ru-RU"/>
        </w:rPr>
        <w:t xml:space="preserve">оказание </w:t>
      </w:r>
      <w:r w:rsidR="00243195" w:rsidRPr="00243195">
        <w:rPr>
          <w:rFonts w:ascii="Times New Roman" w:eastAsia="Times New Roman" w:hAnsi="Times New Roman" w:cs="Times New Roman"/>
          <w:sz w:val="24"/>
          <w:szCs w:val="24"/>
          <w:lang w:eastAsia="ru-RU"/>
        </w:rPr>
        <w:t>услуг по технической поддержке коммутаторов SN6500</w:t>
      </w:r>
      <w:r w:rsidRPr="002516B9">
        <w:rPr>
          <w:rFonts w:ascii="Times New Roman" w:eastAsia="Times New Roman" w:hAnsi="Times New Roman" w:cs="Times New Roman"/>
          <w:sz w:val="24"/>
          <w:szCs w:val="24"/>
          <w:lang w:eastAsia="ru-RU"/>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A27B26"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A27B26">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A27B26">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Default="00AA7156" w:rsidP="00AA7156">
            <w:pPr>
              <w:pStyle w:val="Default"/>
              <w:rPr>
                <w:iCs/>
                <w:lang w:eastAsia="ru-RU"/>
              </w:rPr>
            </w:pPr>
            <w:r w:rsidRPr="00163552">
              <w:rPr>
                <w:iCs/>
                <w:lang w:eastAsia="ru-RU"/>
              </w:rPr>
              <w:t>Титлин Лев Сергеевич</w:t>
            </w:r>
          </w:p>
          <w:p w:rsidR="00AA7156" w:rsidRPr="00A27B26" w:rsidRDefault="00AA7156" w:rsidP="00AA7156">
            <w:pPr>
              <w:pStyle w:val="Default"/>
              <w:rPr>
                <w:rStyle w:val="a3"/>
              </w:rPr>
            </w:pPr>
            <w:r w:rsidRPr="004252ED">
              <w:rPr>
                <w:bCs/>
              </w:rPr>
              <w:t>тел</w:t>
            </w:r>
            <w:r w:rsidRPr="00A27B26">
              <w:rPr>
                <w:bCs/>
              </w:rPr>
              <w:t xml:space="preserve">. + 7 (347) 221-54-71, </w:t>
            </w:r>
            <w:r w:rsidRPr="004252ED">
              <w:rPr>
                <w:bCs/>
                <w:lang w:val="en-US"/>
              </w:rPr>
              <w:t>e</w:t>
            </w:r>
            <w:r w:rsidRPr="00A27B26">
              <w:rPr>
                <w:bCs/>
              </w:rPr>
              <w:t>-</w:t>
            </w:r>
            <w:r w:rsidRPr="004252ED">
              <w:rPr>
                <w:bCs/>
                <w:lang w:val="en-US"/>
              </w:rPr>
              <w:t>mail</w:t>
            </w:r>
            <w:r w:rsidRPr="00A27B26">
              <w:rPr>
                <w:bCs/>
              </w:rPr>
              <w:t>:</w:t>
            </w:r>
            <w:r w:rsidRPr="00A27B26">
              <w:rPr>
                <w:rFonts w:eastAsia="Times New Roman"/>
                <w:color w:val="777777"/>
                <w:lang w:eastAsia="ru-RU"/>
              </w:rPr>
              <w:t xml:space="preserve"> </w:t>
            </w:r>
            <w:hyperlink r:id="rId13" w:history="1">
              <w:r w:rsidRPr="00F5455B">
                <w:rPr>
                  <w:rStyle w:val="a3"/>
                  <w:lang w:val="en-US"/>
                </w:rPr>
                <w:t>Titlin</w:t>
              </w:r>
              <w:r w:rsidRPr="00A27B26">
                <w:rPr>
                  <w:rStyle w:val="a3"/>
                </w:rPr>
                <w:t>@</w:t>
              </w:r>
              <w:r w:rsidRPr="00F5455B">
                <w:rPr>
                  <w:rStyle w:val="a3"/>
                  <w:lang w:val="en-US"/>
                </w:rPr>
                <w:t>bashtel</w:t>
              </w:r>
              <w:r w:rsidRPr="00A27B26">
                <w:rPr>
                  <w:rStyle w:val="a3"/>
                </w:rPr>
                <w:t>.</w:t>
              </w:r>
              <w:proofErr w:type="spellStart"/>
              <w:r w:rsidRPr="00F5455B">
                <w:rPr>
                  <w:rStyle w:val="a3"/>
                  <w:lang w:val="en-US"/>
                </w:rPr>
                <w:t>ru</w:t>
              </w:r>
              <w:proofErr w:type="spellEnd"/>
            </w:hyperlink>
          </w:p>
          <w:p w:rsidR="00243195" w:rsidRPr="00A27B26" w:rsidRDefault="00243195" w:rsidP="00AA7156">
            <w:pPr>
              <w:pStyle w:val="Default"/>
              <w:rPr>
                <w:rStyle w:val="a3"/>
              </w:rPr>
            </w:pPr>
          </w:p>
          <w:p w:rsidR="00243195" w:rsidRDefault="00243195" w:rsidP="00AA7156">
            <w:pPr>
              <w:pStyle w:val="Default"/>
              <w:rPr>
                <w:lang w:val="en-US"/>
              </w:rPr>
            </w:pPr>
            <w:r w:rsidRPr="00243195">
              <w:rPr>
                <w:lang w:val="en-US"/>
              </w:rPr>
              <w:t>Хасанов Марат Рашитович</w:t>
            </w:r>
          </w:p>
          <w:p w:rsidR="00243195" w:rsidRDefault="00243195" w:rsidP="00243195">
            <w:pPr>
              <w:pStyle w:val="Default"/>
              <w:rPr>
                <w:lang w:val="en-US"/>
              </w:rPr>
            </w:pPr>
            <w:proofErr w:type="spellStart"/>
            <w:proofErr w:type="gramStart"/>
            <w:r w:rsidRPr="00243195">
              <w:rPr>
                <w:lang w:val="en-US"/>
              </w:rPr>
              <w:t>тел</w:t>
            </w:r>
            <w:proofErr w:type="spellEnd"/>
            <w:proofErr w:type="gramEnd"/>
            <w:r w:rsidRPr="00243195">
              <w:rPr>
                <w:lang w:val="en-US"/>
              </w:rPr>
              <w:t xml:space="preserve">. + 7 (347) 221-56-40, e-mail: </w:t>
            </w:r>
            <w:hyperlink r:id="rId14" w:history="1">
              <w:r w:rsidRPr="00A4763F">
                <w:rPr>
                  <w:rStyle w:val="a3"/>
                  <w:lang w:val="en-US"/>
                </w:rPr>
                <w:t>marat2@bashtel.ru</w:t>
              </w:r>
            </w:hyperlink>
          </w:p>
          <w:p w:rsidR="00243195" w:rsidRPr="00243195" w:rsidRDefault="00243195" w:rsidP="00243195">
            <w:pPr>
              <w:pStyle w:val="Default"/>
              <w:rPr>
                <w:lang w:val="en-US"/>
              </w:rPr>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43195"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Pr="00AA7156">
              <w:rPr>
                <w:rFonts w:ascii="Times New Roman" w:eastAsia="Calibri" w:hAnsi="Times New Roman" w:cs="Times New Roman"/>
                <w:iCs/>
                <w:color w:val="000000"/>
                <w:sz w:val="24"/>
                <w:szCs w:val="24"/>
              </w:rPr>
              <w:t xml:space="preserve">оказание </w:t>
            </w:r>
            <w:r w:rsidR="00243195" w:rsidRPr="00243195">
              <w:rPr>
                <w:rFonts w:ascii="Times New Roman" w:eastAsia="Calibri" w:hAnsi="Times New Roman" w:cs="Times New Roman"/>
                <w:iCs/>
                <w:color w:val="000000"/>
                <w:sz w:val="24"/>
                <w:szCs w:val="24"/>
              </w:rPr>
              <w:t>услуг по технической поддержке коммутаторов SN6500</w:t>
            </w:r>
            <w:r w:rsidR="00243195">
              <w:rPr>
                <w:rFonts w:ascii="Times New Roman" w:eastAsia="Calibri" w:hAnsi="Times New Roman" w:cs="Times New Roman"/>
                <w:iCs/>
                <w:color w:val="000000"/>
                <w:sz w:val="24"/>
                <w:szCs w:val="24"/>
              </w:rPr>
              <w:t>.</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2516B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9F1684">
              <w:rPr>
                <w:rFonts w:ascii="Times New Roman" w:eastAsia="Calibri" w:hAnsi="Times New Roman" w:cs="Times New Roman"/>
                <w:iCs/>
                <w:color w:val="0000FF"/>
                <w:sz w:val="24"/>
                <w:szCs w:val="24"/>
                <w:u w:val="single"/>
              </w:rPr>
              <w:fldChar w:fldCharType="begin"/>
            </w:r>
            <w:r w:rsidR="009F1684">
              <w:rPr>
                <w:rFonts w:ascii="Times New Roman" w:eastAsia="Calibri" w:hAnsi="Times New Roman" w:cs="Times New Roman"/>
                <w:iCs/>
                <w:color w:val="0000FF"/>
                <w:sz w:val="24"/>
                <w:szCs w:val="24"/>
                <w:u w:val="single"/>
              </w:rPr>
              <w:instrText xml:space="preserve"> HYPERLINK \l "_РАЗДЕЛ_V._Проект" </w:instrText>
            </w:r>
            <w:r w:rsidR="009F1684">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9F1684">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243195" w:rsidRPr="00243195" w:rsidRDefault="00243195"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43195">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AA7156" w:rsidRPr="002516B9" w:rsidRDefault="00243195"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243195">
              <w:rPr>
                <w:rFonts w:ascii="Times New Roman" w:eastAsia="Calibri" w:hAnsi="Times New Roman" w:cs="Times New Roman"/>
                <w:iCs/>
                <w:sz w:val="24"/>
                <w:szCs w:val="24"/>
              </w:rPr>
              <w:t>2</w:t>
            </w:r>
            <w:r>
              <w:rPr>
                <w:rFonts w:ascii="Times New Roman" w:eastAsia="Calibri" w:hAnsi="Times New Roman" w:cs="Times New Roman"/>
                <w:iCs/>
                <w:sz w:val="24"/>
                <w:szCs w:val="24"/>
              </w:rPr>
              <w:t> </w:t>
            </w:r>
            <w:r w:rsidRPr="00243195">
              <w:rPr>
                <w:rFonts w:ascii="Times New Roman" w:eastAsia="Calibri" w:hAnsi="Times New Roman" w:cs="Times New Roman"/>
                <w:iCs/>
                <w:sz w:val="24"/>
                <w:szCs w:val="24"/>
              </w:rPr>
              <w:t>103</w:t>
            </w:r>
            <w:r>
              <w:rPr>
                <w:rFonts w:ascii="Times New Roman" w:eastAsia="Calibri" w:hAnsi="Times New Roman" w:cs="Times New Roman"/>
                <w:iCs/>
                <w:sz w:val="24"/>
                <w:szCs w:val="24"/>
              </w:rPr>
              <w:t xml:space="preserve"> </w:t>
            </w:r>
            <w:r w:rsidRPr="00243195">
              <w:rPr>
                <w:rFonts w:ascii="Times New Roman" w:eastAsia="Calibri" w:hAnsi="Times New Roman" w:cs="Times New Roman"/>
                <w:iCs/>
                <w:sz w:val="24"/>
                <w:szCs w:val="24"/>
              </w:rPr>
              <w:t xml:space="preserve">552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два миллиона сто три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xml:space="preserve"> пятьсот пять</w:t>
            </w:r>
            <w:r>
              <w:rPr>
                <w:rFonts w:ascii="Times New Roman" w:eastAsia="Calibri" w:hAnsi="Times New Roman" w:cs="Times New Roman"/>
                <w:iCs/>
                <w:sz w:val="24"/>
                <w:szCs w:val="24"/>
              </w:rPr>
              <w:t>десят два</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я</w:t>
            </w:r>
            <w:r w:rsidR="00AA7156"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00AA7156"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w:t>
            </w:r>
            <w:r w:rsidR="00243195">
              <w:rPr>
                <w:rFonts w:ascii="Times New Roman" w:eastAsia="Calibri" w:hAnsi="Times New Roman" w:cs="Times New Roman"/>
                <w:iCs/>
                <w:sz w:val="24"/>
                <w:szCs w:val="24"/>
              </w:rPr>
              <w:t xml:space="preserve">350 592 </w:t>
            </w:r>
            <w:r w:rsidRPr="002516B9">
              <w:rPr>
                <w:rFonts w:ascii="Times New Roman" w:eastAsia="Calibri" w:hAnsi="Times New Roman" w:cs="Times New Roman"/>
                <w:iCs/>
                <w:sz w:val="24"/>
                <w:szCs w:val="24"/>
              </w:rPr>
              <w:t>(</w:t>
            </w:r>
            <w:r w:rsidR="00243195">
              <w:rPr>
                <w:rFonts w:ascii="Times New Roman" w:eastAsia="Calibri" w:hAnsi="Times New Roman" w:cs="Times New Roman"/>
                <w:iCs/>
                <w:sz w:val="24"/>
                <w:szCs w:val="24"/>
              </w:rPr>
              <w:t xml:space="preserve">Триста пятьдесят </w:t>
            </w:r>
            <w:r w:rsidR="00D23E1D">
              <w:rPr>
                <w:rFonts w:ascii="Times New Roman" w:eastAsia="Calibri" w:hAnsi="Times New Roman" w:cs="Times New Roman"/>
                <w:iCs/>
                <w:sz w:val="24"/>
                <w:szCs w:val="24"/>
              </w:rPr>
              <w:t xml:space="preserve">тысяч </w:t>
            </w:r>
            <w:r w:rsidR="00243195">
              <w:rPr>
                <w:rFonts w:ascii="Times New Roman" w:eastAsia="Calibri" w:hAnsi="Times New Roman" w:cs="Times New Roman"/>
                <w:iCs/>
                <w:sz w:val="24"/>
                <w:szCs w:val="24"/>
              </w:rPr>
              <w:t>пятьсот девяносто два</w:t>
            </w:r>
            <w:r w:rsidRPr="002516B9">
              <w:rPr>
                <w:rFonts w:ascii="Times New Roman" w:eastAsia="Calibri" w:hAnsi="Times New Roman" w:cs="Times New Roman"/>
                <w:iCs/>
                <w:sz w:val="24"/>
                <w:szCs w:val="24"/>
              </w:rPr>
              <w:t>) рубл</w:t>
            </w:r>
            <w:r w:rsidR="00243195">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sidR="00243195">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копеек</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D23E1D" w:rsidRDefault="00243195" w:rsidP="0024319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1 752 960</w:t>
            </w:r>
            <w:r w:rsidR="00D23E1D">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семьсот </w:t>
            </w:r>
            <w:r w:rsidR="00D23E1D">
              <w:rPr>
                <w:rFonts w:ascii="Times New Roman" w:eastAsia="Calibri" w:hAnsi="Times New Roman" w:cs="Times New Roman"/>
                <w:iCs/>
                <w:sz w:val="24"/>
                <w:szCs w:val="24"/>
              </w:rPr>
              <w:t>пять</w:t>
            </w:r>
            <w:r>
              <w:rPr>
                <w:rFonts w:ascii="Times New Roman" w:eastAsia="Calibri" w:hAnsi="Times New Roman" w:cs="Times New Roman"/>
                <w:iCs/>
                <w:sz w:val="24"/>
                <w:szCs w:val="24"/>
              </w:rPr>
              <w:t xml:space="preserve">десят две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девятьсот шестьдесят</w:t>
            </w:r>
            <w:r w:rsidR="00AA7156"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00D23E1D">
              <w:rPr>
                <w:rFonts w:ascii="Times New Roman" w:eastAsia="Calibri" w:hAnsi="Times New Roman" w:cs="Times New Roman"/>
                <w:iCs/>
                <w:sz w:val="24"/>
                <w:szCs w:val="24"/>
              </w:rPr>
              <w:t xml:space="preserve"> копеек, без учета НДС</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5" w:history="1">
              <w:r w:rsidR="00D23E1D" w:rsidRPr="00D23E1D">
                <w:rPr>
                  <w:rStyle w:val="a3"/>
                  <w:rFonts w:ascii="Times New Roman" w:eastAsia="Calibri" w:hAnsi="Times New Roman" w:cs="Times New Roman"/>
                  <w:iCs/>
                  <w:sz w:val="24"/>
                  <w:szCs w:val="24"/>
                  <w:lang w:val="en-US"/>
                </w:rPr>
                <w:t>https</w:t>
              </w:r>
              <w:r w:rsidR="00D23E1D" w:rsidRPr="00D23E1D">
                <w:rPr>
                  <w:rStyle w:val="a3"/>
                  <w:rFonts w:ascii="Times New Roman" w:eastAsia="Calibri" w:hAnsi="Times New Roman" w:cs="Times New Roman"/>
                  <w:iCs/>
                  <w:sz w:val="24"/>
                  <w:szCs w:val="24"/>
                </w:rPr>
                <w:t>://</w:t>
              </w:r>
              <w:r w:rsidR="00D23E1D" w:rsidRPr="00D23E1D">
                <w:rPr>
                  <w:rStyle w:val="a3"/>
                  <w:rFonts w:ascii="Times New Roman" w:eastAsia="Calibri" w:hAnsi="Times New Roman" w:cs="Times New Roman"/>
                  <w:iCs/>
                  <w:sz w:val="24"/>
                  <w:szCs w:val="24"/>
                  <w:lang w:val="en-US"/>
                </w:rPr>
                <w:t>www</w:t>
              </w:r>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setonline</w:t>
              </w:r>
              <w:proofErr w:type="spellEnd"/>
              <w:r w:rsidR="00D23E1D" w:rsidRPr="00D23E1D">
                <w:rPr>
                  <w:rStyle w:val="a3"/>
                  <w:rFonts w:ascii="Times New Roman" w:eastAsia="Calibri" w:hAnsi="Times New Roman" w:cs="Times New Roman"/>
                  <w:iCs/>
                  <w:sz w:val="24"/>
                  <w:szCs w:val="24"/>
                </w:rPr>
                <w:t>.</w:t>
              </w:r>
              <w:proofErr w:type="spellStart"/>
              <w:r w:rsidR="00D23E1D" w:rsidRPr="00D23E1D">
                <w:rPr>
                  <w:rStyle w:val="a3"/>
                  <w:rFonts w:ascii="Times New Roman" w:eastAsia="Calibri" w:hAnsi="Times New Roman" w:cs="Times New Roman"/>
                  <w:iCs/>
                  <w:sz w:val="24"/>
                  <w:szCs w:val="24"/>
                  <w:lang w:val="en-US"/>
                </w:rPr>
                <w:t>ru</w:t>
              </w:r>
              <w:proofErr w:type="spellEnd"/>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A27B26"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4-01T00:00:00Z">
                  <w:dateFormat w:val="«dd» MMMM yyyy 'года'"/>
                  <w:lid w:val="ru-RU"/>
                  <w:storeMappedDataAs w:val="dateTime"/>
                  <w:calendar w:val="gregorian"/>
                </w:date>
              </w:sdtPr>
              <w:sdtContent>
                <w:r w:rsidR="00243195">
                  <w:rPr>
                    <w:rFonts w:ascii="Times New Roman" w:eastAsia="Times New Roman" w:hAnsi="Times New Roman" w:cs="Times New Roman"/>
                    <w:sz w:val="24"/>
                    <w:szCs w:val="24"/>
                    <w:lang w:eastAsia="ru-RU"/>
                  </w:rPr>
                  <w:t>«01» апреля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A27B26"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4-01T00:00:00Z">
                  <w:dateFormat w:val="«dd» MMMM yyyy 'года'"/>
                  <w:lid w:val="ru-RU"/>
                  <w:storeMappedDataAs w:val="dateTime"/>
                  <w:calendar w:val="gregorian"/>
                </w:date>
              </w:sdtPr>
              <w:sdtContent>
                <w:r w:rsidR="00243195">
                  <w:rPr>
                    <w:rFonts w:ascii="Times New Roman" w:eastAsia="Calibri" w:hAnsi="Times New Roman" w:cs="Times New Roman"/>
                    <w:iCs/>
                    <w:color w:val="000000"/>
                    <w:sz w:val="24"/>
                    <w:szCs w:val="24"/>
                  </w:rPr>
                  <w:t>«01» апреля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4-04T00:00:00Z">
                  <w:dateFormat w:val="«dd» MMMM yyyy 'года'"/>
                  <w:lid w:val="ru-RU"/>
                  <w:storeMappedDataAs w:val="dateTime"/>
                  <w:calendar w:val="gregorian"/>
                </w:date>
              </w:sdtPr>
              <w:sdtContent>
                <w:r w:rsidR="00243195">
                  <w:rPr>
                    <w:rFonts w:ascii="Times New Roman" w:eastAsia="Times New Roman" w:hAnsi="Times New Roman" w:cs="Times New Roman"/>
                    <w:sz w:val="24"/>
                    <w:szCs w:val="24"/>
                    <w:lang w:eastAsia="ru-RU"/>
                  </w:rPr>
                  <w:t>«04» апреля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951189" w:rsidRPr="002516B9" w:rsidRDefault="00AA7156" w:rsidP="0095118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91057100"/>
                <w:placeholder>
                  <w:docPart w:val="C2563DD5FC2D4F1BA8FC7BD8AC32CBB8"/>
                </w:placeholder>
                <w:date w:fullDate="2019-04-04T00:00:00Z">
                  <w:dateFormat w:val="«dd» MMMM yyyy 'года'"/>
                  <w:lid w:val="ru-RU"/>
                  <w:storeMappedDataAs w:val="dateTime"/>
                  <w:calendar w:val="gregorian"/>
                </w:date>
              </w:sdtPr>
              <w:sdtContent>
                <w:r w:rsidR="00951189">
                  <w:rPr>
                    <w:rFonts w:ascii="Times New Roman" w:eastAsia="Times New Roman" w:hAnsi="Times New Roman" w:cs="Times New Roman"/>
                    <w:sz w:val="24"/>
                    <w:szCs w:val="24"/>
                    <w:lang w:eastAsia="ru-RU"/>
                  </w:rPr>
                  <w:t>«04» апреля 2019 года</w:t>
                </w:r>
              </w:sdtContent>
            </w:sdt>
          </w:p>
          <w:p w:rsidR="00AA7156" w:rsidRPr="002516B9" w:rsidRDefault="00951189" w:rsidP="00951189">
            <w:pPr>
              <w:spacing w:after="0" w:line="240" w:lineRule="auto"/>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10"/>
                <w:szCs w:val="10"/>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4-18T00:00:00Z">
                  <w:dateFormat w:val="«dd» MMMM yyyy 'года'"/>
                  <w:lid w:val="ru-RU"/>
                  <w:storeMappedDataAs w:val="dateTime"/>
                  <w:calendar w:val="gregorian"/>
                </w:date>
              </w:sdtPr>
              <w:sdtContent>
                <w:r w:rsidR="00951189">
                  <w:rPr>
                    <w:rFonts w:ascii="Times New Roman" w:eastAsia="Times New Roman" w:hAnsi="Times New Roman" w:cs="Times New Roman"/>
                    <w:sz w:val="24"/>
                    <w:szCs w:val="24"/>
                    <w:lang w:eastAsia="ru-RU"/>
                  </w:rPr>
                  <w:t>«18» апреля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 w:name="_GoBack"/>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bookmarkEnd w:id="1"/>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5"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A27B26" w:rsidP="00576DB8">
      <w:pPr>
        <w:spacing w:after="0" w:line="240" w:lineRule="auto"/>
        <w:ind w:firstLine="567"/>
        <w:jc w:val="both"/>
        <w:rPr>
          <w:rFonts w:ascii="Times New Roman" w:eastAsia="Times New Roman" w:hAnsi="Times New Roman" w:cs="Times New Roman"/>
          <w:sz w:val="24"/>
          <w:szCs w:val="24"/>
          <w:lang w:eastAsia="ru-RU"/>
        </w:rPr>
      </w:pPr>
      <w:hyperlink r:id="rId26"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576DB8" w:rsidRPr="00576DB8">
          <w:rPr>
            <w:rStyle w:val="a3"/>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95118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+ 7 (347) 221-58-28,</w:t>
            </w:r>
            <w:r w:rsidR="00951189" w:rsidRPr="00A27B26">
              <w:rPr>
                <w:rFonts w:ascii="Times New Roman" w:eastAsia="Calibri" w:hAnsi="Times New Roman" w:cs="Times New Roman"/>
                <w:bCs/>
                <w:color w:val="000000"/>
                <w:sz w:val="24"/>
                <w:szCs w:val="24"/>
              </w:rPr>
              <w:t xml:space="preserve"> 221-59-64, </w:t>
            </w:r>
            <w:r w:rsidRPr="00523E21">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28" w:history="1">
              <w:r w:rsidRPr="00523E21">
                <w:rPr>
                  <w:rStyle w:val="a3"/>
                  <w:rFonts w:ascii="Times New Roman" w:eastAsia="Calibri" w:hAnsi="Times New Roman" w:cs="Times New Roman"/>
                  <w:bCs/>
                  <w:sz w:val="24"/>
                  <w:szCs w:val="24"/>
                  <w:lang w:val="en-US"/>
                </w:rPr>
                <w:t>ouz</w:t>
              </w:r>
              <w:r w:rsidRPr="00A27B26">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A27B26">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hyperlink>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523E21">
              <w:rPr>
                <w:rFonts w:ascii="Times New Roman" w:eastAsia="Calibri" w:hAnsi="Times New Roman" w:cs="Times New Roman"/>
                <w:bCs/>
                <w:iCs/>
                <w:color w:val="000000"/>
                <w:sz w:val="24"/>
                <w:szCs w:val="24"/>
              </w:rPr>
              <w:t>Титлин Лев Сергеевич</w:t>
            </w:r>
          </w:p>
          <w:p w:rsidR="002516B9" w:rsidRPr="00A27B26" w:rsidRDefault="00523E21" w:rsidP="00523E21">
            <w:pPr>
              <w:autoSpaceDE w:val="0"/>
              <w:autoSpaceDN w:val="0"/>
              <w:adjustRightInd w:val="0"/>
              <w:spacing w:after="0" w:line="240" w:lineRule="auto"/>
              <w:rPr>
                <w:rStyle w:val="a3"/>
                <w:rFonts w:ascii="Times New Roman" w:eastAsia="Calibri" w:hAnsi="Times New Roman" w:cs="Times New Roman"/>
                <w:bCs/>
                <w:sz w:val="24"/>
                <w:szCs w:val="24"/>
              </w:rPr>
            </w:pPr>
            <w:r w:rsidRPr="00523E21">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xml:space="preserve">. + 7 (347) 221-54-71, </w:t>
            </w:r>
            <w:r w:rsidRPr="00523E21">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29" w:history="1">
              <w:r w:rsidRPr="00523E21">
                <w:rPr>
                  <w:rStyle w:val="a3"/>
                  <w:rFonts w:ascii="Times New Roman" w:eastAsia="Calibri" w:hAnsi="Times New Roman" w:cs="Times New Roman"/>
                  <w:bCs/>
                  <w:sz w:val="24"/>
                  <w:szCs w:val="24"/>
                  <w:lang w:val="en-US"/>
                </w:rPr>
                <w:t>Titlin</w:t>
              </w:r>
              <w:r w:rsidRPr="00A27B26">
                <w:rPr>
                  <w:rStyle w:val="a3"/>
                  <w:rFonts w:ascii="Times New Roman" w:eastAsia="Calibri" w:hAnsi="Times New Roman" w:cs="Times New Roman"/>
                  <w:bCs/>
                  <w:sz w:val="24"/>
                  <w:szCs w:val="24"/>
                </w:rPr>
                <w:t>@</w:t>
              </w:r>
              <w:r w:rsidRPr="00523E21">
                <w:rPr>
                  <w:rStyle w:val="a3"/>
                  <w:rFonts w:ascii="Times New Roman" w:eastAsia="Calibri" w:hAnsi="Times New Roman" w:cs="Times New Roman"/>
                  <w:bCs/>
                  <w:sz w:val="24"/>
                  <w:szCs w:val="24"/>
                  <w:lang w:val="en-US"/>
                </w:rPr>
                <w:t>bashtel</w:t>
              </w:r>
              <w:r w:rsidRPr="00A27B26">
                <w:rPr>
                  <w:rStyle w:val="a3"/>
                  <w:rFonts w:ascii="Times New Roman" w:eastAsia="Calibri" w:hAnsi="Times New Roman" w:cs="Times New Roman"/>
                  <w:bCs/>
                  <w:sz w:val="24"/>
                  <w:szCs w:val="24"/>
                </w:rPr>
                <w:t>.</w:t>
              </w:r>
              <w:proofErr w:type="spellStart"/>
              <w:r w:rsidRPr="00523E21">
                <w:rPr>
                  <w:rStyle w:val="a3"/>
                  <w:rFonts w:ascii="Times New Roman" w:eastAsia="Calibri" w:hAnsi="Times New Roman" w:cs="Times New Roman"/>
                  <w:bCs/>
                  <w:sz w:val="24"/>
                  <w:szCs w:val="24"/>
                  <w:lang w:val="en-US"/>
                </w:rPr>
                <w:t>ru</w:t>
              </w:r>
              <w:proofErr w:type="spellEnd"/>
            </w:hyperlink>
          </w:p>
          <w:p w:rsidR="00951189" w:rsidRPr="00A27B26" w:rsidRDefault="00951189" w:rsidP="00523E21">
            <w:pPr>
              <w:autoSpaceDE w:val="0"/>
              <w:autoSpaceDN w:val="0"/>
              <w:adjustRightInd w:val="0"/>
              <w:spacing w:after="0" w:line="240" w:lineRule="auto"/>
              <w:rPr>
                <w:rStyle w:val="a3"/>
                <w:rFonts w:ascii="Times New Roman" w:eastAsia="Calibri" w:hAnsi="Times New Roman" w:cs="Times New Roman"/>
                <w:bCs/>
                <w:sz w:val="24"/>
                <w:szCs w:val="24"/>
              </w:rPr>
            </w:pPr>
          </w:p>
          <w:p w:rsidR="00951189" w:rsidRPr="00C501B2" w:rsidRDefault="00951189" w:rsidP="00951189">
            <w:pPr>
              <w:pStyle w:val="Default"/>
            </w:pPr>
            <w:r w:rsidRPr="00C501B2">
              <w:t>Хасанов Марат Рашитович</w:t>
            </w:r>
          </w:p>
          <w:p w:rsidR="00951189" w:rsidRPr="00C501B2" w:rsidRDefault="00951189" w:rsidP="00951189">
            <w:pPr>
              <w:pStyle w:val="Default"/>
            </w:pPr>
            <w:r w:rsidRPr="00C501B2">
              <w:t xml:space="preserve">тел. + 7 (347) 221-56-40, </w:t>
            </w:r>
            <w:r w:rsidRPr="00243195">
              <w:rPr>
                <w:lang w:val="en-US"/>
              </w:rPr>
              <w:t>e</w:t>
            </w:r>
            <w:r w:rsidRPr="00C501B2">
              <w:t>-</w:t>
            </w:r>
            <w:r w:rsidRPr="00243195">
              <w:rPr>
                <w:lang w:val="en-US"/>
              </w:rPr>
              <w:t>mail</w:t>
            </w:r>
            <w:r w:rsidRPr="00C501B2">
              <w:t xml:space="preserve">: </w:t>
            </w:r>
            <w:hyperlink r:id="rId30" w:history="1">
              <w:r w:rsidRPr="00A4763F">
                <w:rPr>
                  <w:rStyle w:val="a3"/>
                  <w:lang w:val="en-US"/>
                </w:rPr>
                <w:t>marat</w:t>
              </w:r>
              <w:r w:rsidRPr="00C501B2">
                <w:rPr>
                  <w:rStyle w:val="a3"/>
                </w:rPr>
                <w:t>2@</w:t>
              </w:r>
              <w:r w:rsidRPr="00A4763F">
                <w:rPr>
                  <w:rStyle w:val="a3"/>
                  <w:lang w:val="en-US"/>
                </w:rPr>
                <w:t>bashtel</w:t>
              </w:r>
              <w:r w:rsidRPr="00C501B2">
                <w:rPr>
                  <w:rStyle w:val="a3"/>
                </w:rPr>
                <w:t>.</w:t>
              </w:r>
              <w:proofErr w:type="spellStart"/>
              <w:r w:rsidRPr="00A4763F">
                <w:rPr>
                  <w:rStyle w:val="a3"/>
                  <w:lang w:val="en-US"/>
                </w:rPr>
                <w:t>ru</w:t>
              </w:r>
              <w:proofErr w:type="spellEnd"/>
            </w:hyperlink>
          </w:p>
          <w:p w:rsidR="00951189" w:rsidRPr="00951189" w:rsidRDefault="00951189" w:rsidP="00523E21">
            <w:pPr>
              <w:autoSpaceDE w:val="0"/>
              <w:autoSpaceDN w:val="0"/>
              <w:adjustRightInd w:val="0"/>
              <w:spacing w:after="0" w:line="240" w:lineRule="auto"/>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95118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31"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3-12T00:00:00Z">
                <w:dateFormat w:val="«dd» MMMM yyyy 'года'"/>
                <w:lid w:val="ru-RU"/>
                <w:storeMappedDataAs w:val="dateTime"/>
                <w:calendar w:val="gregorian"/>
              </w:date>
            </w:sdtPr>
            <w:sdtContent>
              <w:p w:rsidR="002516B9" w:rsidRPr="002516B9" w:rsidRDefault="00951189"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марта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523E21" w:rsidRPr="00523E21">
                <w:rPr>
                  <w:rStyle w:val="a3"/>
                  <w:rFonts w:ascii="Times New Roman" w:eastAsia="Times New Roman" w:hAnsi="Times New Roman" w:cs="Times New Roman"/>
                  <w:sz w:val="24"/>
                  <w:szCs w:val="24"/>
                  <w:lang w:val="en-US" w:eastAsia="ru-RU"/>
                </w:rPr>
                <w:t>https</w:t>
              </w:r>
              <w:r w:rsidR="00523E21" w:rsidRPr="00523E21">
                <w:rPr>
                  <w:rStyle w:val="a3"/>
                  <w:rFonts w:ascii="Times New Roman" w:eastAsia="Times New Roman" w:hAnsi="Times New Roman" w:cs="Times New Roman"/>
                  <w:sz w:val="24"/>
                  <w:szCs w:val="24"/>
                  <w:lang w:eastAsia="ru-RU"/>
                </w:rPr>
                <w:t>://</w:t>
              </w:r>
              <w:r w:rsidR="00523E21" w:rsidRPr="00523E21">
                <w:rPr>
                  <w:rStyle w:val="a3"/>
                  <w:rFonts w:ascii="Times New Roman" w:eastAsia="Times New Roman" w:hAnsi="Times New Roman" w:cs="Times New Roman"/>
                  <w:sz w:val="24"/>
                  <w:szCs w:val="24"/>
                  <w:lang w:val="en-US" w:eastAsia="ru-RU"/>
                </w:rPr>
                <w:t>www</w:t>
              </w:r>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setonline</w:t>
              </w:r>
              <w:proofErr w:type="spellEnd"/>
              <w:r w:rsidR="00523E21" w:rsidRPr="00523E21">
                <w:rPr>
                  <w:rStyle w:val="a3"/>
                  <w:rFonts w:ascii="Times New Roman" w:eastAsia="Times New Roman" w:hAnsi="Times New Roman" w:cs="Times New Roman"/>
                  <w:sz w:val="24"/>
                  <w:szCs w:val="24"/>
                  <w:lang w:eastAsia="ru-RU"/>
                </w:rPr>
                <w:t>.</w:t>
              </w:r>
              <w:proofErr w:type="spellStart"/>
              <w:r w:rsidR="00523E21" w:rsidRPr="00523E21">
                <w:rPr>
                  <w:rStyle w:val="a3"/>
                  <w:rFonts w:ascii="Times New Roman" w:eastAsia="Times New Roman" w:hAnsi="Times New Roman" w:cs="Times New Roman"/>
                  <w:sz w:val="24"/>
                  <w:szCs w:val="24"/>
                  <w:lang w:val="en-US" w:eastAsia="ru-RU"/>
                </w:rPr>
                <w:t>ru</w:t>
              </w:r>
              <w:proofErr w:type="spellEnd"/>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A27B26"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4-01T00:00:00Z">
                  <w:dateFormat w:val="«dd» MMMM yyyy 'года'"/>
                  <w:lid w:val="ru-RU"/>
                  <w:storeMappedDataAs w:val="dateTime"/>
                  <w:calendar w:val="gregorian"/>
                </w:date>
              </w:sdtPr>
              <w:sdtContent>
                <w:r w:rsidR="00951189">
                  <w:rPr>
                    <w:rFonts w:ascii="Times New Roman" w:eastAsia="Times New Roman" w:hAnsi="Times New Roman" w:cs="Times New Roman"/>
                    <w:sz w:val="24"/>
                    <w:szCs w:val="24"/>
                    <w:lang w:eastAsia="ru-RU"/>
                  </w:rPr>
                  <w:t>«01»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A27B26"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4-01T00:00:00Z">
                  <w:dateFormat w:val="«dd» MMMM yyyy 'года'"/>
                  <w:lid w:val="ru-RU"/>
                  <w:storeMappedDataAs w:val="dateTime"/>
                  <w:calendar w:val="gregorian"/>
                </w:date>
              </w:sdtPr>
              <w:sdtContent>
                <w:r w:rsidR="00951189">
                  <w:rPr>
                    <w:rFonts w:ascii="Times New Roman" w:eastAsia="Times New Roman" w:hAnsi="Times New Roman" w:cs="Times New Roman"/>
                    <w:sz w:val="24"/>
                    <w:szCs w:val="24"/>
                    <w:lang w:eastAsia="ru-RU"/>
                  </w:rPr>
                  <w:t>«01»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4-04T00:00:00Z">
                  <w:dateFormat w:val="«dd» MMMM yyyy 'года'"/>
                  <w:lid w:val="ru-RU"/>
                  <w:storeMappedDataAs w:val="dateTime"/>
                  <w:calendar w:val="gregorian"/>
                </w:date>
              </w:sdtPr>
              <w:sdtContent>
                <w:r w:rsidR="009A1CF4">
                  <w:rPr>
                    <w:rFonts w:ascii="Times New Roman" w:eastAsia="Times New Roman" w:hAnsi="Times New Roman" w:cs="Times New Roman"/>
                    <w:sz w:val="24"/>
                    <w:szCs w:val="24"/>
                    <w:lang w:eastAsia="ru-RU"/>
                  </w:rPr>
                  <w:t>«04» апреля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4-04T00:00:00Z">
                  <w:dateFormat w:val="«dd» MMMM yyyy 'года'"/>
                  <w:lid w:val="ru-RU"/>
                  <w:storeMappedDataAs w:val="dateTime"/>
                  <w:calendar w:val="gregorian"/>
                </w:date>
              </w:sdtPr>
              <w:sdtContent>
                <w:r w:rsidR="009A1CF4">
                  <w:rPr>
                    <w:rFonts w:ascii="Times New Roman" w:eastAsia="Times New Roman" w:hAnsi="Times New Roman" w:cs="Times New Roman"/>
                    <w:sz w:val="24"/>
                    <w:szCs w:val="24"/>
                    <w:lang w:eastAsia="ru-RU"/>
                  </w:rPr>
                  <w:t>«04» апреля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4-18T00:00:00Z">
                  <w:dateFormat w:val="«dd» MMMM yyyy 'года'"/>
                  <w:lid w:val="ru-RU"/>
                  <w:storeMappedDataAs w:val="dateTime"/>
                  <w:calendar w:val="gregorian"/>
                </w:date>
              </w:sdtPr>
              <w:sdtContent>
                <w:r w:rsidR="009A1CF4">
                  <w:rPr>
                    <w:rFonts w:ascii="Times New Roman" w:eastAsia="Times New Roman" w:hAnsi="Times New Roman" w:cs="Times New Roman"/>
                    <w:sz w:val="24"/>
                    <w:szCs w:val="24"/>
                    <w:lang w:eastAsia="ru-RU"/>
                  </w:rPr>
                  <w:t>«18» апреля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3-12T00:00:00Z">
                  <w:dateFormat w:val="«dd» MMMM yyyy 'года'"/>
                  <w:lid w:val="ru-RU"/>
                  <w:storeMappedDataAs w:val="dateTime"/>
                  <w:calendar w:val="gregorian"/>
                </w:date>
              </w:sdtPr>
              <w:sdtContent>
                <w:r w:rsidR="009A1CF4">
                  <w:rPr>
                    <w:rFonts w:ascii="Times New Roman" w:eastAsia="Times New Roman" w:hAnsi="Times New Roman" w:cs="Times New Roman"/>
                    <w:b/>
                    <w:sz w:val="24"/>
                    <w:szCs w:val="24"/>
                    <w:lang w:eastAsia="ru-RU"/>
                  </w:rPr>
                  <w:t>«12» марта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3-27T00:00:00Z">
                  <w:dateFormat w:val="«dd» MMMM yyyy 'года'"/>
                  <w:lid w:val="ru-RU"/>
                  <w:storeMappedDataAs w:val="dateTime"/>
                  <w:calendar w:val="gregorian"/>
                </w:date>
              </w:sdtPr>
              <w:sdtContent>
                <w:r w:rsidR="009A1CF4">
                  <w:rPr>
                    <w:rFonts w:ascii="Times New Roman" w:eastAsia="Times New Roman" w:hAnsi="Times New Roman" w:cs="Times New Roman"/>
                    <w:b/>
                    <w:sz w:val="24"/>
                    <w:szCs w:val="24"/>
                    <w:lang w:eastAsia="ru-RU"/>
                  </w:rPr>
                  <w:t>«27» марта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1748D5" w:rsidRDefault="009A1CF4" w:rsidP="009A1CF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Pr="00AA7156">
              <w:rPr>
                <w:rFonts w:ascii="Times New Roman" w:eastAsia="Calibri" w:hAnsi="Times New Roman" w:cs="Times New Roman"/>
                <w:iCs/>
                <w:color w:val="000000"/>
                <w:sz w:val="24"/>
                <w:szCs w:val="24"/>
              </w:rPr>
              <w:t xml:space="preserve">оказание </w:t>
            </w:r>
            <w:r w:rsidRPr="00243195">
              <w:rPr>
                <w:rFonts w:ascii="Times New Roman" w:eastAsia="Calibri" w:hAnsi="Times New Roman" w:cs="Times New Roman"/>
                <w:iCs/>
                <w:color w:val="000000"/>
                <w:sz w:val="24"/>
                <w:szCs w:val="24"/>
              </w:rPr>
              <w:t>услуг по технической поддержке коммутаторов SN6500</w:t>
            </w:r>
            <w:r>
              <w:rPr>
                <w:rFonts w:ascii="Times New Roman" w:eastAsia="Calibri" w:hAnsi="Times New Roman" w:cs="Times New Roman"/>
                <w:iCs/>
                <w:color w:val="000000"/>
                <w:sz w:val="24"/>
                <w:szCs w:val="24"/>
              </w:rPr>
              <w:t>.</w:t>
            </w:r>
          </w:p>
          <w:p w:rsidR="009A1CF4" w:rsidRDefault="009A1CF4" w:rsidP="009A1CF4">
            <w:pPr>
              <w:autoSpaceDE w:val="0"/>
              <w:autoSpaceDN w:val="0"/>
              <w:adjustRightInd w:val="0"/>
              <w:spacing w:after="0" w:line="240" w:lineRule="auto"/>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9A1CF4" w:rsidRPr="009A1CF4" w:rsidRDefault="009A1CF4" w:rsidP="009A1CF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A1CF4">
              <w:rPr>
                <w:rFonts w:ascii="Times New Roman" w:eastAsia="Times New Roman"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A1CF4" w:rsidRPr="009A1CF4" w:rsidRDefault="009A1CF4" w:rsidP="009A1CF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A1CF4">
              <w:rPr>
                <w:rFonts w:ascii="Times New Roman" w:eastAsia="Times New Roman" w:hAnsi="Times New Roman" w:cs="Times New Roman"/>
                <w:iCs/>
                <w:sz w:val="24"/>
                <w:szCs w:val="24"/>
                <w:lang w:eastAsia="ru-RU"/>
              </w:rPr>
              <w:t xml:space="preserve">2 103 552 (два миллиона сто три тысячи пятьсот пятьдесят два) рубля 00 копеек, с учетом НДС 20%.  </w:t>
            </w:r>
          </w:p>
          <w:p w:rsidR="009A1CF4" w:rsidRPr="009A1CF4" w:rsidRDefault="009A1CF4" w:rsidP="009A1CF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A1CF4">
              <w:rPr>
                <w:rFonts w:ascii="Times New Roman" w:eastAsia="Times New Roman" w:hAnsi="Times New Roman" w:cs="Times New Roman"/>
                <w:iCs/>
                <w:sz w:val="24"/>
                <w:szCs w:val="24"/>
                <w:lang w:eastAsia="ru-RU"/>
              </w:rPr>
              <w:t>В том числе НДС (20%) 350 592 (Триста пятьдесят тысяч пятьсот девяносто два) рубля 00 копеек</w:t>
            </w:r>
          </w:p>
          <w:p w:rsidR="001748D5" w:rsidRDefault="009A1CF4" w:rsidP="009A1CF4">
            <w:pPr>
              <w:spacing w:after="0" w:line="240" w:lineRule="auto"/>
              <w:ind w:firstLine="34"/>
              <w:jc w:val="both"/>
              <w:rPr>
                <w:rFonts w:ascii="Times New Roman" w:eastAsia="Times New Roman" w:hAnsi="Times New Roman" w:cs="Times New Roman"/>
                <w:iCs/>
                <w:sz w:val="24"/>
                <w:szCs w:val="24"/>
                <w:lang w:eastAsia="ru-RU"/>
              </w:rPr>
            </w:pPr>
            <w:r w:rsidRPr="009A1CF4">
              <w:rPr>
                <w:rFonts w:ascii="Times New Roman" w:eastAsia="Times New Roman" w:hAnsi="Times New Roman" w:cs="Times New Roman"/>
                <w:iCs/>
                <w:sz w:val="24"/>
                <w:szCs w:val="24"/>
                <w:lang w:eastAsia="ru-RU"/>
              </w:rPr>
              <w:t>1 752 960 (Один миллион семьсот пятьдесят две тысячи девятьсот шестьдесят) рублей 00 копеек, без учета НДС</w:t>
            </w:r>
            <w:r>
              <w:rPr>
                <w:rFonts w:ascii="Times New Roman" w:eastAsia="Times New Roman" w:hAnsi="Times New Roman" w:cs="Times New Roman"/>
                <w:iCs/>
                <w:sz w:val="24"/>
                <w:szCs w:val="24"/>
                <w:lang w:eastAsia="ru-RU"/>
              </w:rPr>
              <w:t>.</w:t>
            </w:r>
          </w:p>
          <w:p w:rsidR="009A1CF4" w:rsidRDefault="009A1CF4" w:rsidP="009A1CF4">
            <w:pPr>
              <w:spacing w:after="0" w:line="240" w:lineRule="auto"/>
              <w:ind w:firstLine="34"/>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34"/>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724891">
                    <w:rPr>
                      <w:rFonts w:ascii="Times New Roman" w:eastAsia="Times New Roman" w:hAnsi="Times New Roman" w:cs="Arial"/>
                      <w:b/>
                      <w:i/>
                      <w:sz w:val="24"/>
                      <w:szCs w:val="24"/>
                    </w:rPr>
                    <w:t>Специальных документов не требуется</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7F7D3F">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c"/>
              <w:tblW w:w="7425" w:type="dxa"/>
              <w:tblLayout w:type="fixed"/>
              <w:tblLook w:val="04A0" w:firstRow="1" w:lastRow="0" w:firstColumn="1" w:lastColumn="0" w:noHBand="0" w:noVBand="1"/>
            </w:tblPr>
            <w:tblGrid>
              <w:gridCol w:w="1446"/>
              <w:gridCol w:w="1446"/>
              <w:gridCol w:w="4533"/>
            </w:tblGrid>
            <w:tr w:rsidR="00724891" w:rsidRPr="002516B9" w:rsidTr="00724891">
              <w:tc>
                <w:tcPr>
                  <w:tcW w:w="1446" w:type="dxa"/>
                </w:tcPr>
                <w:p w:rsidR="00724891" w:rsidRDefault="00724891" w:rsidP="00724891">
                  <w:pPr>
                    <w:pStyle w:val="a4"/>
                    <w:ind w:left="0"/>
                  </w:pPr>
                  <w:r>
                    <w:t>Критерий</w:t>
                  </w:r>
                </w:p>
              </w:tc>
              <w:tc>
                <w:tcPr>
                  <w:tcW w:w="1446" w:type="dxa"/>
                </w:tcPr>
                <w:p w:rsidR="00724891" w:rsidRDefault="00724891" w:rsidP="00724891">
                  <w:pPr>
                    <w:pStyle w:val="a4"/>
                    <w:ind w:left="0"/>
                  </w:pPr>
                  <w:r>
                    <w:t>Величина значимости критерия (Вес критерия)</w:t>
                  </w:r>
                </w:p>
              </w:tc>
              <w:tc>
                <w:tcPr>
                  <w:tcW w:w="4533" w:type="dxa"/>
                </w:tcPr>
                <w:p w:rsidR="00724891" w:rsidRPr="00690878" w:rsidRDefault="00724891" w:rsidP="00724891">
                  <w:pPr>
                    <w:pStyle w:val="a4"/>
                    <w:ind w:left="0"/>
                    <w:rPr>
                      <w:rFonts w:eastAsia="Calibri"/>
                    </w:rPr>
                  </w:pPr>
                  <w:r>
                    <w:t>Что конкретно оценивается (показатели)</w:t>
                  </w:r>
                </w:p>
                <w:p w:rsidR="00724891" w:rsidRDefault="00724891" w:rsidP="00724891">
                  <w:pPr>
                    <w:pStyle w:val="a4"/>
                    <w:ind w:left="0" w:firstLine="175"/>
                    <w:jc w:val="both"/>
                    <w:rPr>
                      <w:i/>
                      <w:iCs/>
                      <w:color w:val="FF0000"/>
                    </w:rPr>
                  </w:pPr>
                </w:p>
              </w:tc>
            </w:tr>
            <w:tr w:rsidR="00724891" w:rsidRPr="002516B9" w:rsidTr="00724891">
              <w:tc>
                <w:tcPr>
                  <w:tcW w:w="1446" w:type="dxa"/>
                </w:tcPr>
                <w:p w:rsidR="00724891" w:rsidRPr="00724891" w:rsidRDefault="00724891" w:rsidP="00724891">
                  <w:pPr>
                    <w:contextualSpacing/>
                    <w:rPr>
                      <w:rFonts w:cs="Times New Roman"/>
                      <w:sz w:val="24"/>
                      <w:szCs w:val="24"/>
                    </w:rPr>
                  </w:pPr>
                  <w:r w:rsidRPr="00724891">
                    <w:rPr>
                      <w:rFonts w:cs="Times New Roman"/>
                      <w:sz w:val="24"/>
                      <w:szCs w:val="24"/>
                    </w:rPr>
                    <w:t>1. Цена договора (лота)</w:t>
                  </w:r>
                </w:p>
              </w:tc>
              <w:tc>
                <w:tcPr>
                  <w:tcW w:w="1446" w:type="dxa"/>
                </w:tcPr>
                <w:p w:rsidR="00724891" w:rsidRPr="00724891" w:rsidRDefault="00724891" w:rsidP="00724891">
                  <w:pPr>
                    <w:contextualSpacing/>
                    <w:rPr>
                      <w:rFonts w:cs="Times New Roman"/>
                      <w:sz w:val="24"/>
                      <w:szCs w:val="24"/>
                    </w:rPr>
                  </w:pPr>
                  <w:r w:rsidRPr="00724891">
                    <w:rPr>
                      <w:rFonts w:cs="Times New Roman"/>
                      <w:sz w:val="24"/>
                      <w:szCs w:val="24"/>
                    </w:rPr>
                    <w:t>97%</w:t>
                  </w:r>
                </w:p>
              </w:tc>
              <w:tc>
                <w:tcPr>
                  <w:tcW w:w="4533" w:type="dxa"/>
                </w:tcPr>
                <w:p w:rsidR="00724891" w:rsidRPr="00724891" w:rsidRDefault="00724891" w:rsidP="00724891">
                  <w:pPr>
                    <w:tabs>
                      <w:tab w:val="left" w:pos="4003"/>
                      <w:tab w:val="left" w:pos="4038"/>
                    </w:tabs>
                    <w:contextualSpacing/>
                    <w:jc w:val="both"/>
                    <w:rPr>
                      <w:rFonts w:cs="Times New Roman"/>
                      <w:sz w:val="24"/>
                      <w:szCs w:val="24"/>
                    </w:rPr>
                  </w:pPr>
                  <w:r w:rsidRPr="00724891">
                    <w:rPr>
                      <w:rFonts w:cs="Times New Roman"/>
                      <w:sz w:val="24"/>
                      <w:szCs w:val="24"/>
                    </w:rPr>
                    <w:t>Оценивается предложение цены договора, указанное участником закупки в его заявке на участие в закупке</w:t>
                  </w:r>
                </w:p>
              </w:tc>
            </w:tr>
            <w:tr w:rsidR="00724891" w:rsidRPr="002516B9" w:rsidTr="00724891">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 xml:space="preserve">2. </w:t>
                  </w:r>
                  <w:r w:rsidRPr="005E40B9">
                    <w:rPr>
                      <w:rFonts w:cs="Times New Roman"/>
                      <w:sz w:val="24"/>
                      <w:szCs w:val="24"/>
                    </w:rPr>
                    <w:t>Сроки оплаты по договору</w:t>
                  </w:r>
                </w:p>
              </w:tc>
              <w:tc>
                <w:tcPr>
                  <w:tcW w:w="1446" w:type="dxa"/>
                </w:tcPr>
                <w:p w:rsidR="00724891" w:rsidRPr="005E40B9" w:rsidRDefault="00724891" w:rsidP="00724891">
                  <w:pPr>
                    <w:spacing w:after="200" w:line="276" w:lineRule="auto"/>
                    <w:rPr>
                      <w:rFonts w:cs="Times New Roman"/>
                      <w:sz w:val="24"/>
                      <w:szCs w:val="24"/>
                    </w:rPr>
                  </w:pPr>
                  <w:r>
                    <w:rPr>
                      <w:rFonts w:cs="Times New Roman"/>
                      <w:sz w:val="24"/>
                      <w:szCs w:val="24"/>
                    </w:rPr>
                    <w:t>3</w:t>
                  </w:r>
                  <w:r w:rsidRPr="005E40B9">
                    <w:rPr>
                      <w:rFonts w:cs="Times New Roman"/>
                      <w:sz w:val="24"/>
                      <w:szCs w:val="24"/>
                    </w:rPr>
                    <w:t>%</w:t>
                  </w:r>
                </w:p>
              </w:tc>
              <w:tc>
                <w:tcPr>
                  <w:tcW w:w="4533" w:type="dxa"/>
                </w:tcPr>
                <w:p w:rsidR="00724891" w:rsidRPr="005E40B9" w:rsidRDefault="00724891" w:rsidP="00724891">
                  <w:pPr>
                    <w:jc w:val="both"/>
                    <w:rPr>
                      <w:rFonts w:cs="Times New Roman"/>
                      <w:sz w:val="24"/>
                      <w:szCs w:val="24"/>
                    </w:rPr>
                  </w:pPr>
                  <w:r w:rsidRPr="005E40B9">
                    <w:rPr>
                      <w:rFonts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34" w:history="1">
                    <w:r w:rsidRPr="00525F9D">
                      <w:rPr>
                        <w:rStyle w:val="a3"/>
                        <w:rFonts w:cs="Times New Roman"/>
                        <w:i/>
                        <w:sz w:val="24"/>
                        <w:szCs w:val="24"/>
                      </w:rPr>
                      <w:t>п. 34</w:t>
                    </w:r>
                  </w:hyperlink>
                  <w:r w:rsidRPr="005E40B9">
                    <w:rPr>
                      <w:rFonts w:cs="Times New Roman"/>
                      <w:i/>
                      <w:sz w:val="24"/>
                      <w:szCs w:val="24"/>
                    </w:rPr>
                    <w:t xml:space="preserve"> </w:t>
                  </w:r>
                  <w:hyperlink w:anchor="_ 2.3._Условия" w:history="1">
                    <w:r>
                      <w:rPr>
                        <w:rStyle w:val="a3"/>
                        <w:rFonts w:eastAsia="MS Mincho" w:cs="Times New Roman"/>
                        <w:i/>
                        <w:iCs/>
                        <w:sz w:val="24"/>
                        <w:szCs w:val="24"/>
                      </w:rPr>
                      <w:t>раздел 2.3. Условия заключения и исполнения договора</w:t>
                    </w:r>
                  </w:hyperlink>
                  <w:r w:rsidRPr="005E40B9">
                    <w:rPr>
                      <w:rFonts w:cs="Times New Roman"/>
                      <w:i/>
                      <w:sz w:val="24"/>
                      <w:szCs w:val="24"/>
                    </w:rPr>
                    <w:t xml:space="preserve"> настоящей Документации</w:t>
                  </w:r>
                  <w:r w:rsidRPr="005E40B9">
                    <w:rPr>
                      <w:rFonts w:cs="Times New Roman"/>
                      <w:sz w:val="24"/>
                      <w:szCs w:val="24"/>
                    </w:rPr>
                    <w:t>), на 30 календарных дней. Сведения по данному критерию указываются участником закупки в его заявке на участие в закупке.</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D97366" w:rsidRDefault="002516B9" w:rsidP="002516B9">
            <w:pPr>
              <w:spacing w:after="0" w:line="240" w:lineRule="auto"/>
              <w:rPr>
                <w:rFonts w:ascii="Times New Roman" w:eastAsia="Times New Roman" w:hAnsi="Times New Roman" w:cs="Times New Roman"/>
                <w:b/>
                <w:sz w:val="24"/>
                <w:szCs w:val="24"/>
                <w:lang w:eastAsia="ru-RU"/>
              </w:rPr>
            </w:pPr>
            <w:r w:rsidRPr="00D97366">
              <w:rPr>
                <w:rFonts w:ascii="Times New Roman" w:eastAsia="Times New Roman" w:hAnsi="Times New Roman" w:cs="Times New Roman"/>
                <w:b/>
                <w:sz w:val="24"/>
                <w:szCs w:val="24"/>
                <w:lang w:eastAsia="ru-RU"/>
              </w:rPr>
              <w:t>Оценка и сопоставления Заявок производится следующим образом:</w:t>
            </w:r>
          </w:p>
          <w:p w:rsidR="00724891" w:rsidRPr="00724891" w:rsidRDefault="00724891" w:rsidP="00724891">
            <w:pPr>
              <w:keepNext/>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 xml:space="preserve"> Рейтинг, присуждаемый заявке по критерию «Цена договора (лота)», определяется по формуле:</w:t>
            </w:r>
          </w:p>
          <w:p w:rsidR="00724891" w:rsidRPr="00724891" w:rsidRDefault="00724891" w:rsidP="00724891">
            <w:pPr>
              <w:spacing w:after="0" w:line="240" w:lineRule="auto"/>
              <w:jc w:val="center"/>
              <w:rPr>
                <w:rFonts w:ascii="Times New Roman" w:eastAsia="Times New Roman" w:hAnsi="Times New Roman" w:cs="Times New Roman"/>
                <w:sz w:val="24"/>
                <w:szCs w:val="24"/>
                <w:lang w:eastAsia="ru-RU"/>
              </w:rPr>
            </w:pPr>
            <w:r w:rsidRPr="0072489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4" o:title=""/>
                </v:shape>
                <o:OLEObject Type="Embed" ProgID="Equation.3" ShapeID="_x0000_i1025" DrawAspect="Content" ObjectID="_1613907986" r:id="rId35"/>
              </w:object>
            </w:r>
            <w:r w:rsidRPr="00724891">
              <w:rPr>
                <w:rFonts w:ascii="Times New Roman" w:eastAsia="Times New Roman" w:hAnsi="Times New Roman" w:cs="Times New Roman"/>
                <w:sz w:val="24"/>
                <w:szCs w:val="24"/>
                <w:lang w:eastAsia="ru-RU"/>
              </w:rPr>
              <w:t>,</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где:</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Ra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vertAlign w:val="subscript"/>
                <w:lang w:eastAsia="ru-RU"/>
              </w:rPr>
              <w:t xml:space="preserve"> </w:t>
            </w:r>
            <w:r w:rsidRPr="00724891">
              <w:rPr>
                <w:rFonts w:ascii="Times New Roman" w:eastAsia="Times New Roman" w:hAnsi="Times New Roman" w:cs="Times New Roman"/>
                <w:sz w:val="24"/>
                <w:szCs w:val="24"/>
                <w:lang w:eastAsia="ru-RU"/>
              </w:rPr>
              <w:t>- рейтинг, присуждаемый i-й заявке по указанному критерию;</w:t>
            </w:r>
          </w:p>
          <w:p w:rsidR="00724891" w:rsidRPr="00724891" w:rsidRDefault="00724891" w:rsidP="00724891">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min</w:t>
            </w:r>
            <w:proofErr w:type="spellEnd"/>
            <w:r w:rsidRPr="0072489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724891" w:rsidRPr="00724891" w:rsidRDefault="00724891" w:rsidP="0072489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724891">
              <w:rPr>
                <w:rFonts w:ascii="Times New Roman" w:eastAsia="Times New Roman" w:hAnsi="Times New Roman" w:cs="Times New Roman"/>
                <w:sz w:val="24"/>
                <w:szCs w:val="24"/>
                <w:lang w:eastAsia="ru-RU"/>
              </w:rPr>
              <w:t>A</w:t>
            </w:r>
            <w:r w:rsidRPr="00724891">
              <w:rPr>
                <w:rFonts w:ascii="Times New Roman" w:eastAsia="Times New Roman" w:hAnsi="Times New Roman" w:cs="Times New Roman"/>
                <w:sz w:val="24"/>
                <w:szCs w:val="24"/>
                <w:vertAlign w:val="subscript"/>
                <w:lang w:eastAsia="ru-RU"/>
              </w:rPr>
              <w:t>i</w:t>
            </w:r>
            <w:proofErr w:type="spellEnd"/>
            <w:r w:rsidRPr="00724891">
              <w:rPr>
                <w:rFonts w:ascii="Times New Roman" w:eastAsia="Times New Roman" w:hAnsi="Times New Roman" w:cs="Times New Roman"/>
                <w:sz w:val="24"/>
                <w:szCs w:val="24"/>
                <w:lang w:eastAsia="ru-RU"/>
              </w:rPr>
              <w:t xml:space="preserve"> -  </w:t>
            </w:r>
            <w:r w:rsidR="00D97366" w:rsidRPr="00724891">
              <w:rPr>
                <w:rFonts w:ascii="Times New Roman" w:eastAsia="Times New Roman" w:hAnsi="Times New Roman" w:cs="Times New Roman"/>
                <w:sz w:val="24"/>
                <w:szCs w:val="24"/>
                <w:lang w:eastAsia="ru-RU"/>
              </w:rPr>
              <w:t>предложение i</w:t>
            </w:r>
            <w:r w:rsidRPr="00724891">
              <w:rPr>
                <w:rFonts w:ascii="Times New Roman" w:eastAsia="Times New Roman" w:hAnsi="Times New Roman" w:cs="Times New Roman"/>
                <w:sz w:val="24"/>
                <w:szCs w:val="24"/>
                <w:lang w:eastAsia="ru-RU"/>
              </w:rPr>
              <w:t>-</w:t>
            </w:r>
            <w:proofErr w:type="spellStart"/>
            <w:r w:rsidRPr="00724891">
              <w:rPr>
                <w:rFonts w:ascii="Times New Roman" w:eastAsia="Times New Roman" w:hAnsi="Times New Roman" w:cs="Times New Roman"/>
                <w:sz w:val="24"/>
                <w:szCs w:val="24"/>
                <w:lang w:eastAsia="ru-RU"/>
              </w:rPr>
              <w:t>го</w:t>
            </w:r>
            <w:proofErr w:type="spellEnd"/>
            <w:r w:rsidRPr="00724891">
              <w:rPr>
                <w:rFonts w:ascii="Times New Roman" w:eastAsia="Times New Roman" w:hAnsi="Times New Roman" w:cs="Times New Roman"/>
                <w:sz w:val="24"/>
                <w:szCs w:val="24"/>
                <w:lang w:eastAsia="ru-RU"/>
              </w:rPr>
              <w:t xml:space="preserve"> участника </w:t>
            </w:r>
            <w:r w:rsidRPr="00724891">
              <w:rPr>
                <w:rFonts w:ascii="Times New Roman" w:eastAsia="Times New Roman" w:hAnsi="Times New Roman" w:cs="Courier New"/>
                <w:sz w:val="24"/>
                <w:szCs w:val="24"/>
                <w:lang w:eastAsia="ru-RU"/>
              </w:rPr>
              <w:t>запроса предложений</w:t>
            </w:r>
            <w:r w:rsidRPr="00724891">
              <w:rPr>
                <w:rFonts w:ascii="Times New Roman" w:eastAsia="Times New Roman" w:hAnsi="Times New Roman" w:cs="Courier New"/>
                <w:b/>
                <w:sz w:val="20"/>
                <w:szCs w:val="24"/>
                <w:lang w:eastAsia="ru-RU"/>
              </w:rPr>
              <w:t xml:space="preserve"> </w:t>
            </w:r>
            <w:r w:rsidRPr="00724891">
              <w:rPr>
                <w:rFonts w:ascii="Times New Roman" w:eastAsia="Times New Roman" w:hAnsi="Times New Roman" w:cs="Times New Roman"/>
                <w:sz w:val="24"/>
                <w:szCs w:val="24"/>
                <w:lang w:eastAsia="ru-RU"/>
              </w:rPr>
              <w:t>по цене договора.</w:t>
            </w:r>
          </w:p>
          <w:p w:rsidR="00724891" w:rsidRPr="00724891" w:rsidRDefault="00724891" w:rsidP="00724891">
            <w:pPr>
              <w:spacing w:after="0" w:line="240" w:lineRule="auto"/>
              <w:ind w:firstLine="567"/>
              <w:jc w:val="both"/>
              <w:rPr>
                <w:rFonts w:ascii="Times New Roman" w:eastAsia="Times New Roman" w:hAnsi="Times New Roman" w:cs="Times New Roman"/>
                <w:sz w:val="24"/>
                <w:szCs w:val="24"/>
                <w:lang w:eastAsia="ru-RU"/>
              </w:rPr>
            </w:pPr>
            <w:r w:rsidRPr="0072489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(лота)», умножается на соответствующую указанному критерию значимость.</w:t>
            </w:r>
          </w:p>
          <w:p w:rsidR="00724891" w:rsidRPr="00D97366" w:rsidRDefault="00724891" w:rsidP="00D97366">
            <w:pPr>
              <w:pStyle w:val="a4"/>
              <w:numPr>
                <w:ilvl w:val="0"/>
                <w:numId w:val="49"/>
              </w:numPr>
              <w:tabs>
                <w:tab w:val="left" w:pos="720"/>
                <w:tab w:val="num" w:pos="1980"/>
              </w:tabs>
              <w:jc w:val="both"/>
              <w:rPr>
                <w:rFonts w:eastAsiaTheme="minorHAnsi"/>
              </w:rPr>
            </w:pPr>
            <w:r w:rsidRPr="00D97366">
              <w:rPr>
                <w:rFonts w:eastAsiaTheme="minorHAnsi"/>
              </w:rPr>
              <w:t xml:space="preserve">Рейтинг, присуждаемый заявке по критерию </w:t>
            </w:r>
            <w:r w:rsidRPr="00D97366">
              <w:rPr>
                <w:rFonts w:eastAsiaTheme="minorHAnsi"/>
                <w:b/>
              </w:rPr>
              <w:t>«</w:t>
            </w:r>
            <w:r w:rsidRPr="00D97366">
              <w:rPr>
                <w:rFonts w:eastAsiaTheme="minorHAnsi"/>
                <w:b/>
                <w:color w:val="000000"/>
              </w:rPr>
              <w:t>Сроки оплаты по договору</w:t>
            </w:r>
            <w:r w:rsidRPr="00D97366">
              <w:rPr>
                <w:rFonts w:eastAsiaTheme="minorHAnsi"/>
                <w:b/>
              </w:rPr>
              <w:t>»</w:t>
            </w:r>
            <w:r w:rsidRPr="00D97366">
              <w:rPr>
                <w:rFonts w:eastAsiaTheme="minorHAnsi"/>
              </w:rPr>
              <w:t>, определяется следующим образом:</w:t>
            </w:r>
          </w:p>
          <w:p w:rsidR="00724891" w:rsidRPr="009A1CF4" w:rsidRDefault="00724891" w:rsidP="009A1CF4">
            <w:pPr>
              <w:pStyle w:val="a6"/>
              <w:tabs>
                <w:tab w:val="clear" w:pos="4677"/>
                <w:tab w:val="clear" w:pos="9355"/>
                <w:tab w:val="num" w:pos="426"/>
              </w:tabs>
              <w:jc w:val="both"/>
              <w:rPr>
                <w:rFonts w:eastAsia="Calibri"/>
              </w:rPr>
            </w:pPr>
            <w:r w:rsidRPr="00724891">
              <w:t>Наличие в заявке участника закупки условий оплаты: «</w:t>
            </w:r>
            <w:r w:rsidR="009A1CF4" w:rsidRPr="009A1CF4">
              <w:rPr>
                <w:rFonts w:eastAsia="Calibri"/>
                <w:color w:val="000000"/>
              </w:rPr>
              <w:t xml:space="preserve">Заказчик производит оплату услуг по настоящему Договору в течение </w:t>
            </w:r>
            <w:r w:rsidR="009A1CF4" w:rsidRPr="00724891">
              <w:rPr>
                <w:lang w:eastAsia="ar-SA"/>
              </w:rPr>
              <w:t xml:space="preserve">60 (шестидесяти) </w:t>
            </w:r>
            <w:r w:rsidR="009A1CF4" w:rsidRPr="009A1CF4">
              <w:rPr>
                <w:rFonts w:eastAsia="Calibri"/>
                <w:color w:val="000000"/>
              </w:rPr>
              <w:t>календарных дней с даты получения оригинала счета. Исполнитель выставляет счет не позднее 5-ти рабочих дней с даты подписания Сто</w:t>
            </w:r>
            <w:r w:rsidR="009A1CF4">
              <w:rPr>
                <w:rFonts w:eastAsia="Calibri"/>
                <w:color w:val="000000"/>
              </w:rPr>
              <w:t>ронами Акта сдачи-приемки Услуг</w:t>
            </w:r>
            <w:r w:rsidRPr="00724891">
              <w:t xml:space="preserve">» – </w:t>
            </w:r>
            <w:r w:rsidRPr="00724891">
              <w:rPr>
                <w:b/>
              </w:rPr>
              <w:t>100 баллов,</w:t>
            </w:r>
          </w:p>
          <w:p w:rsidR="00724891" w:rsidRPr="00724891" w:rsidRDefault="00724891" w:rsidP="009A1CF4">
            <w:pPr>
              <w:pStyle w:val="a6"/>
              <w:tabs>
                <w:tab w:val="clear" w:pos="4677"/>
                <w:tab w:val="clear" w:pos="9355"/>
                <w:tab w:val="num" w:pos="426"/>
              </w:tabs>
              <w:jc w:val="both"/>
            </w:pPr>
            <w:r w:rsidRPr="00724891">
              <w:t>Наличие в заявке участника закупки условий оплаты:</w:t>
            </w:r>
            <w:r w:rsidRPr="00724891">
              <w:rPr>
                <w:color w:val="000000"/>
              </w:rPr>
              <w:t xml:space="preserve"> «</w:t>
            </w:r>
            <w:r w:rsidR="009A1CF4" w:rsidRPr="009A1CF4">
              <w:rPr>
                <w:rFonts w:eastAsia="Calibri"/>
                <w:color w:val="000000"/>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r w:rsidRPr="00724891">
              <w:t xml:space="preserve">» - </w:t>
            </w:r>
            <w:r w:rsidRPr="00724891">
              <w:rPr>
                <w:b/>
              </w:rPr>
              <w:t>0 баллов</w:t>
            </w:r>
            <w:r w:rsidRPr="00724891">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7F7D3F">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7"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2516B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30ACC" w:rsidRPr="00630ACC" w:rsidRDefault="00630ACC" w:rsidP="00630ACC">
            <w:pPr>
              <w:tabs>
                <w:tab w:val="num" w:pos="426"/>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 xml:space="preserve">      </w:t>
            </w:r>
            <w:r w:rsidRPr="00630ACC">
              <w:rPr>
                <w:rFonts w:ascii="Times New Roman" w:eastAsia="Calibri" w:hAnsi="Times New Roman" w:cs="Times New Roman"/>
                <w:color w:val="000000"/>
                <w:sz w:val="24"/>
                <w:szCs w:val="24"/>
              </w:rPr>
              <w:t>Заказчик производит оплату услуг по настоящему Договору в течение 30 (тридцати) календарных дней с даты получения оригинала счета. Исполнитель выставляет счет не позднее 5-ти рабочих дней с даты подписания Сторонами Акта сдачи-приемки Услуг.</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2516B9" w:rsidRPr="002516B9" w:rsidRDefault="002516B9" w:rsidP="002516B9">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38"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2516B9">
            <w:pPr>
              <w:numPr>
                <w:ilvl w:val="0"/>
                <w:numId w:val="4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40"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F7D3F">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F7D3F">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F7D3F">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F7D3F">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2516B9">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2516B9">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557" w:type="dxa"/>
            <w:shd w:val="clear" w:color="auto" w:fill="auto"/>
          </w:tcPr>
          <w:p w:rsidR="002516B9" w:rsidRPr="002516B9" w:rsidRDefault="002516B9" w:rsidP="009D250E">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Предложение Участника </w:t>
            </w:r>
          </w:p>
        </w:tc>
      </w:tr>
      <w:tr w:rsidR="002516B9" w:rsidRPr="002516B9" w:rsidTr="002516B9">
        <w:tc>
          <w:tcPr>
            <w:tcW w:w="3474" w:type="dxa"/>
            <w:shd w:val="clear" w:color="auto" w:fill="auto"/>
          </w:tcPr>
          <w:p w:rsidR="009D250E" w:rsidRDefault="002516B9" w:rsidP="00BA5EDE">
            <w:pPr>
              <w:numPr>
                <w:ilvl w:val="0"/>
                <w:numId w:val="22"/>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557" w:type="dxa"/>
            <w:shd w:val="clear" w:color="auto" w:fill="auto"/>
          </w:tcPr>
          <w:p w:rsidR="002516B9" w:rsidRPr="002516B9" w:rsidRDefault="00BA5EDE" w:rsidP="002516B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_____________________ (____________________________________________________)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2516B9" w:rsidRPr="002516B9" w:rsidTr="002516B9">
        <w:tc>
          <w:tcPr>
            <w:tcW w:w="3474" w:type="dxa"/>
            <w:shd w:val="clear" w:color="auto" w:fill="auto"/>
          </w:tcPr>
          <w:p w:rsidR="002516B9" w:rsidRPr="002516B9" w:rsidRDefault="00BA5EDE" w:rsidP="00BA5EDE">
            <w:pPr>
              <w:numPr>
                <w:ilvl w:val="0"/>
                <w:numId w:val="22"/>
              </w:numPr>
              <w:spacing w:after="0" w:line="240" w:lineRule="auto"/>
              <w:ind w:left="313"/>
              <w:rPr>
                <w:rFonts w:ascii="Times New Roman" w:eastAsia="Times New Roman" w:hAnsi="Times New Roman" w:cs="Arial"/>
                <w:color w:val="000000"/>
                <w:sz w:val="24"/>
                <w:szCs w:val="24"/>
                <w:lang w:eastAsia="ru-RU"/>
              </w:rPr>
            </w:pPr>
            <w:r w:rsidRPr="00BA5EDE">
              <w:rPr>
                <w:rFonts w:ascii="Times New Roman" w:eastAsia="Times New Roman" w:hAnsi="Times New Roman" w:cs="Arial"/>
                <w:color w:val="000000"/>
                <w:sz w:val="24"/>
                <w:szCs w:val="24"/>
                <w:lang w:eastAsia="ru-RU"/>
              </w:rPr>
              <w:t>Сроки оплаты по договору (30/60 дней)</w:t>
            </w:r>
          </w:p>
        </w:tc>
        <w:tc>
          <w:tcPr>
            <w:tcW w:w="6557"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630ACC" w:rsidRDefault="00630ACC" w:rsidP="002516B9">
      <w:pPr>
        <w:spacing w:after="0" w:line="240" w:lineRule="auto"/>
        <w:jc w:val="center"/>
        <w:rPr>
          <w:rFonts w:ascii="Times New Roman" w:eastAsia="Times New Roman" w:hAnsi="Times New Roman" w:cs="Times New Roman"/>
          <w:b/>
          <w:i/>
          <w:sz w:val="24"/>
          <w:szCs w:val="24"/>
          <w:lang w:eastAsia="ru-RU"/>
        </w:rPr>
      </w:pPr>
    </w:p>
    <w:tbl>
      <w:tblPr>
        <w:tblStyle w:val="ac"/>
        <w:tblW w:w="10427" w:type="dxa"/>
        <w:tblInd w:w="-5" w:type="dxa"/>
        <w:tblLook w:val="04A0" w:firstRow="1" w:lastRow="0" w:firstColumn="1" w:lastColumn="0" w:noHBand="0" w:noVBand="1"/>
      </w:tblPr>
      <w:tblGrid>
        <w:gridCol w:w="2728"/>
        <w:gridCol w:w="3388"/>
        <w:gridCol w:w="4311"/>
      </w:tblGrid>
      <w:tr w:rsidR="00630ACC" w:rsidRPr="00C52174" w:rsidTr="00A27B26">
        <w:tc>
          <w:tcPr>
            <w:tcW w:w="2728" w:type="dxa"/>
            <w:shd w:val="clear" w:color="auto" w:fill="F2F2F2" w:themeFill="background1" w:themeFillShade="F2"/>
          </w:tcPr>
          <w:p w:rsidR="00630ACC" w:rsidRPr="00C52174" w:rsidRDefault="00630ACC" w:rsidP="00A27B26">
            <w:pPr>
              <w:rPr>
                <w:b/>
              </w:rPr>
            </w:pPr>
            <w:r w:rsidRPr="00264F24">
              <w:t>Наименование товара, работы, услуги</w:t>
            </w:r>
            <w:r w:rsidRPr="005A531E">
              <w:rPr>
                <w:i/>
              </w:rPr>
              <w:t xml:space="preserve"> (выбрать нужное)</w:t>
            </w:r>
          </w:p>
        </w:tc>
        <w:tc>
          <w:tcPr>
            <w:tcW w:w="3388" w:type="dxa"/>
            <w:shd w:val="clear" w:color="auto" w:fill="F2F2F2" w:themeFill="background1" w:themeFillShade="F2"/>
          </w:tcPr>
          <w:p w:rsidR="00630ACC" w:rsidRPr="00E066C7" w:rsidRDefault="00630ACC" w:rsidP="00A27B26">
            <w:pPr>
              <w:jc w:val="center"/>
            </w:pPr>
            <w:r w:rsidRPr="002B37DA">
              <w:t>Цена за единицу товара, работы, услуги (выбрать нужное) (с НДС, без НДС, НДС не облагается – указать)</w:t>
            </w:r>
          </w:p>
        </w:tc>
        <w:tc>
          <w:tcPr>
            <w:tcW w:w="4311" w:type="dxa"/>
            <w:shd w:val="clear" w:color="auto" w:fill="F2F2F2" w:themeFill="background1" w:themeFillShade="F2"/>
          </w:tcPr>
          <w:p w:rsidR="00630ACC" w:rsidRPr="00E066C7" w:rsidRDefault="00630ACC" w:rsidP="00A27B26">
            <w:pPr>
              <w:jc w:val="center"/>
            </w:pPr>
            <w:r w:rsidRPr="00E066C7">
              <w:t>Российское лицо/Иностранное лицо</w:t>
            </w:r>
            <w:r>
              <w:t xml:space="preserve"> </w:t>
            </w:r>
            <w:r w:rsidRPr="00E066C7">
              <w:rPr>
                <w:i/>
              </w:rPr>
              <w:t>(выбрать нужное)</w:t>
            </w:r>
          </w:p>
        </w:tc>
      </w:tr>
      <w:tr w:rsidR="00630ACC" w:rsidRPr="00C52174" w:rsidTr="00A27B26">
        <w:tc>
          <w:tcPr>
            <w:tcW w:w="2728" w:type="dxa"/>
          </w:tcPr>
          <w:p w:rsidR="00630ACC" w:rsidRPr="00C52174" w:rsidRDefault="00630ACC" w:rsidP="00A27B26">
            <w:pPr>
              <w:jc w:val="center"/>
              <w:rPr>
                <w:b/>
              </w:rPr>
            </w:pPr>
          </w:p>
        </w:tc>
        <w:tc>
          <w:tcPr>
            <w:tcW w:w="3388" w:type="dxa"/>
          </w:tcPr>
          <w:p w:rsidR="00630ACC" w:rsidRPr="00C52174" w:rsidRDefault="00630ACC" w:rsidP="00A27B26">
            <w:pPr>
              <w:jc w:val="center"/>
              <w:rPr>
                <w:b/>
              </w:rPr>
            </w:pPr>
          </w:p>
        </w:tc>
        <w:tc>
          <w:tcPr>
            <w:tcW w:w="4311" w:type="dxa"/>
          </w:tcPr>
          <w:p w:rsidR="00630ACC" w:rsidRPr="00C52174" w:rsidRDefault="00630ACC" w:rsidP="00A27B26">
            <w:pPr>
              <w:jc w:val="center"/>
              <w:rPr>
                <w:b/>
              </w:rPr>
            </w:pPr>
          </w:p>
        </w:tc>
      </w:tr>
    </w:tbl>
    <w:p w:rsidR="00630ACC" w:rsidRPr="002516B9" w:rsidRDefault="00630ACC" w:rsidP="002516B9">
      <w:pPr>
        <w:spacing w:after="0" w:line="240" w:lineRule="auto"/>
        <w:jc w:val="center"/>
        <w:rPr>
          <w:rFonts w:ascii="Times New Roman" w:eastAsia="Times New Roman" w:hAnsi="Times New Roman" w:cs="Times New Roman"/>
          <w:b/>
          <w:i/>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w:t>
      </w:r>
      <w:r w:rsidRPr="002516B9">
        <w:rPr>
          <w:rFonts w:ascii="Times New Roman" w:eastAsia="Times New Roman" w:hAnsi="Times New Roman" w:cs="Times New Roman"/>
          <w:sz w:val="24"/>
          <w:szCs w:val="24"/>
          <w:lang w:eastAsia="ru-RU"/>
        </w:rPr>
        <w:br w:type="page"/>
      </w:r>
      <w:bookmarkStart w:id="99" w:name="_Ref313304436"/>
      <w:bookmarkStart w:id="100" w:name="_Toc314507388"/>
      <w:bookmarkStart w:id="101" w:name="_Toc322209429"/>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2" w:name="_Форма_4_РЕКОМЕНДУЕМАЯ"/>
      <w:bookmarkStart w:id="103" w:name="_Toc528762729"/>
      <w:bookmarkEnd w:id="102"/>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99"/>
      <w:bookmarkEnd w:id="100"/>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1"/>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42"/>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7F7D3F">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4"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5"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6"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8"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D01FD" w:rsidSect="002516B9">
          <w:headerReference w:type="first" r:id="rId49"/>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1B441D" w:rsidRPr="001B441D" w:rsidRDefault="001B441D" w:rsidP="001B441D">
      <w:pPr>
        <w:spacing w:after="0" w:line="240" w:lineRule="auto"/>
        <w:jc w:val="center"/>
        <w:outlineLvl w:val="0"/>
        <w:rPr>
          <w:rFonts w:ascii="Times New Roman" w:eastAsia="Times New Roman" w:hAnsi="Times New Roman" w:cs="Times New Roman"/>
          <w:b/>
          <w:sz w:val="24"/>
          <w:szCs w:val="20"/>
          <w:lang w:eastAsia="ru-RU"/>
        </w:rPr>
      </w:pPr>
      <w:r w:rsidRPr="001B441D">
        <w:rPr>
          <w:rFonts w:ascii="Times New Roman" w:eastAsia="Times New Roman" w:hAnsi="Times New Roman" w:cs="Times New Roman"/>
          <w:b/>
          <w:sz w:val="24"/>
          <w:szCs w:val="20"/>
          <w:lang w:eastAsia="ru-RU"/>
        </w:rPr>
        <w:t>Перечень, описание Услуг и сроки их оказания</w:t>
      </w:r>
    </w:p>
    <w:p w:rsidR="001B441D" w:rsidRDefault="001B441D" w:rsidP="001B441D">
      <w:pPr>
        <w:spacing w:after="0" w:line="276" w:lineRule="auto"/>
        <w:jc w:val="both"/>
        <w:rPr>
          <w:rFonts w:ascii="Times New Roman" w:eastAsia="Calibri" w:hAnsi="Times New Roman" w:cs="Times New Roman"/>
          <w:sz w:val="24"/>
          <w:szCs w:val="24"/>
        </w:rPr>
      </w:pPr>
    </w:p>
    <w:p w:rsidR="001B441D" w:rsidRPr="001B441D" w:rsidRDefault="002E2C72" w:rsidP="001B441D">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B441D" w:rsidRPr="001B441D">
        <w:rPr>
          <w:rFonts w:ascii="Times New Roman" w:eastAsia="Calibri" w:hAnsi="Times New Roman" w:cs="Times New Roman"/>
          <w:sz w:val="24"/>
          <w:szCs w:val="24"/>
        </w:rPr>
        <w:t>1. Общие положения</w:t>
      </w:r>
    </w:p>
    <w:p w:rsidR="001B441D" w:rsidRPr="001B441D" w:rsidRDefault="001B441D" w:rsidP="001B441D">
      <w:pPr>
        <w:spacing w:after="0" w:line="276" w:lineRule="auto"/>
        <w:jc w:val="both"/>
        <w:rPr>
          <w:rFonts w:ascii="Times New Roman" w:eastAsia="Calibri" w:hAnsi="Times New Roman" w:cs="Times New Roman"/>
          <w:sz w:val="24"/>
          <w:szCs w:val="24"/>
        </w:rPr>
      </w:pP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1.1. Данное приложение описывает порядок предоставления Услуг, организованный путем формирования Обращений.</w:t>
      </w: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 xml:space="preserve">1.2. Создание Обращения в Системе Технической поддержки Исполнителя должно быть доступно по адресу </w:t>
      </w:r>
      <w:r w:rsidRPr="00A27B26">
        <w:rPr>
          <w:rFonts w:ascii="Times New Roman" w:eastAsia="Calibri" w:hAnsi="Times New Roman" w:cs="Times New Roman"/>
          <w:sz w:val="24"/>
          <w:szCs w:val="24"/>
        </w:rPr>
        <w:t>электронной почты. В</w:t>
      </w:r>
      <w:r w:rsidRPr="001B441D">
        <w:rPr>
          <w:rFonts w:ascii="Times New Roman" w:eastAsia="Calibri" w:hAnsi="Times New Roman" w:cs="Times New Roman"/>
          <w:sz w:val="24"/>
          <w:szCs w:val="24"/>
        </w:rPr>
        <w:t xml:space="preserve"> случае временной недоступности Системы Технической поддержки – устное сообщение или электронное письмо представителю Исполнителя с последующей фиксацией в Системы Технической поддержки.</w:t>
      </w: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1.3. Исполнителю необходимо предоставить права на создание Обращений в Системе Технической поддержки уполномоченным представителям Заказчика.</w:t>
      </w: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 xml:space="preserve">1.4. В Обращении Заказчик сообщает о проблеме на оборудовании,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w:t>
      </w:r>
      <w:proofErr w:type="spellStart"/>
      <w:r w:rsidRPr="001B441D">
        <w:rPr>
          <w:rFonts w:ascii="Times New Roman" w:eastAsia="Calibri" w:hAnsi="Times New Roman" w:cs="Times New Roman"/>
          <w:sz w:val="24"/>
          <w:szCs w:val="24"/>
        </w:rPr>
        <w:t>Microsoft</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Office</w:t>
      </w:r>
      <w:proofErr w:type="spellEnd"/>
      <w:r w:rsidRPr="001B441D">
        <w:rPr>
          <w:rFonts w:ascii="Times New Roman" w:eastAsia="Calibri" w:hAnsi="Times New Roman" w:cs="Times New Roman"/>
          <w:sz w:val="24"/>
          <w:szCs w:val="24"/>
        </w:rPr>
        <w:t>, простых текстовых и структурированных файлов, скриншотов с экранов, архивных файлов (</w:t>
      </w:r>
      <w:proofErr w:type="spellStart"/>
      <w:r w:rsidRPr="001B441D">
        <w:rPr>
          <w:rFonts w:ascii="Times New Roman" w:eastAsia="Calibri" w:hAnsi="Times New Roman" w:cs="Times New Roman"/>
          <w:sz w:val="24"/>
          <w:szCs w:val="24"/>
        </w:rPr>
        <w:t>doc</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xls</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pdf</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jpg</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bmp</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png</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xml</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rar</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zip</w:t>
      </w:r>
      <w:proofErr w:type="spellEnd"/>
      <w:r w:rsidRPr="001B441D">
        <w:rPr>
          <w:rFonts w:ascii="Times New Roman" w:eastAsia="Calibri" w:hAnsi="Times New Roman" w:cs="Times New Roman"/>
          <w:sz w:val="24"/>
          <w:szCs w:val="24"/>
        </w:rPr>
        <w:t xml:space="preserve">, </w:t>
      </w:r>
      <w:proofErr w:type="spellStart"/>
      <w:r w:rsidRPr="001B441D">
        <w:rPr>
          <w:rFonts w:ascii="Times New Roman" w:eastAsia="Calibri" w:hAnsi="Times New Roman" w:cs="Times New Roman"/>
          <w:sz w:val="24"/>
          <w:szCs w:val="24"/>
        </w:rPr>
        <w:t>msg</w:t>
      </w:r>
      <w:proofErr w:type="spellEnd"/>
      <w:r w:rsidRPr="001B441D">
        <w:rPr>
          <w:rFonts w:ascii="Times New Roman" w:eastAsia="Calibri" w:hAnsi="Times New Roman" w:cs="Times New Roman"/>
          <w:sz w:val="24"/>
          <w:szCs w:val="24"/>
        </w:rPr>
        <w:t>). В ряде случаев могут быть использованы файлы журналов работы отдельных модулей программы (</w:t>
      </w:r>
      <w:proofErr w:type="spellStart"/>
      <w:r w:rsidRPr="001B441D">
        <w:rPr>
          <w:rFonts w:ascii="Times New Roman" w:eastAsia="Calibri" w:hAnsi="Times New Roman" w:cs="Times New Roman"/>
          <w:sz w:val="24"/>
          <w:szCs w:val="24"/>
        </w:rPr>
        <w:t>log</w:t>
      </w:r>
      <w:proofErr w:type="spellEnd"/>
      <w:r w:rsidRPr="001B441D">
        <w:rPr>
          <w:rFonts w:ascii="Times New Roman" w:eastAsia="Calibri" w:hAnsi="Times New Roman" w:cs="Times New Roman"/>
          <w:sz w:val="24"/>
          <w:szCs w:val="24"/>
        </w:rPr>
        <w:t>-файлы).</w:t>
      </w:r>
    </w:p>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 xml:space="preserve">1.5. Исполнитель подтвердит получение запроса на обслуживание путем регистрации </w:t>
      </w:r>
      <w:r w:rsidRPr="001B441D">
        <w:rPr>
          <w:rFonts w:ascii="Times New Roman" w:eastAsia="MS Mincho" w:hAnsi="Times New Roman" w:cs="Times New Roman"/>
          <w:color w:val="000000"/>
          <w:sz w:val="24"/>
          <w:szCs w:val="24"/>
        </w:rPr>
        <w:t>Обращений в Системе Технической поддержки</w:t>
      </w:r>
      <w:r w:rsidRPr="001B441D">
        <w:rPr>
          <w:rFonts w:ascii="Times New Roman" w:eastAsia="MS Mincho" w:hAnsi="Times New Roman" w:cs="Times New Roman"/>
          <w:color w:val="000000"/>
          <w:sz w:val="24"/>
          <w:szCs w:val="20"/>
        </w:rPr>
        <w:t xml:space="preserve">, сообщения его идентификатора заказчику и подтверждения заказчику уровня критичности события и требований к времени для выполнения действий по его устранению. </w:t>
      </w:r>
    </w:p>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1.6. Время реакции при обслуживании оборудования у Заказчика, а также время дистанционной поддержки программного обеспечения могут отличаться в зависимости от уровня критичности инцидента. Уровень критичности инцидента определяет Заказчик.</w:t>
      </w:r>
    </w:p>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p>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Уровни критичности инцидентов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52"/>
      </w:tblGrid>
      <w:tr w:rsidR="001B441D" w:rsidRPr="001B441D" w:rsidTr="00A27B26">
        <w:tc>
          <w:tcPr>
            <w:tcW w:w="2660"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Уровень критичности 1</w:t>
            </w:r>
          </w:p>
        </w:tc>
        <w:tc>
          <w:tcPr>
            <w:tcW w:w="7052"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Простой критически важных систем. Например, рабочая среда полностью вышла из строя, рабочая система или приложение вышло из строя или находится под серьезной угрозой, повреждение, потеря данных или высокий риск для них, критическое воздействие на бизнес, проблемы безопасности.</w:t>
            </w:r>
          </w:p>
        </w:tc>
      </w:tr>
      <w:tr w:rsidR="001B441D" w:rsidRPr="001B441D" w:rsidTr="00A27B26">
        <w:tc>
          <w:tcPr>
            <w:tcW w:w="2660"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Уровень критичности 2</w:t>
            </w:r>
          </w:p>
        </w:tc>
        <w:tc>
          <w:tcPr>
            <w:tcW w:w="7052"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Нарушение работы критически важных систем. Например, значительно ограничены возможности рабочей среды, нестабильное состояние или нарушение безопасности рабочей системы или приложения, риск повторного возникновения проблемы, значительное воздействие на бизнес.</w:t>
            </w:r>
          </w:p>
        </w:tc>
      </w:tr>
      <w:tr w:rsidR="001B441D" w:rsidRPr="001B441D" w:rsidTr="00A27B26">
        <w:tc>
          <w:tcPr>
            <w:tcW w:w="2660"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Уровень критичности 3</w:t>
            </w:r>
          </w:p>
        </w:tc>
        <w:tc>
          <w:tcPr>
            <w:tcW w:w="7052"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Нормальная работа. Например, выход из строя или снижение производительности нерабочей системы (тестовой системы), проблемы с рабочей системой или приложением, для которых найдено временное решение, некритичное ограничение функциональности, ограниченное воздействие на бизнес.</w:t>
            </w:r>
          </w:p>
        </w:tc>
      </w:tr>
      <w:tr w:rsidR="001B441D" w:rsidRPr="001B441D" w:rsidTr="00A27B26">
        <w:tc>
          <w:tcPr>
            <w:tcW w:w="2660"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Уровень критичности 4</w:t>
            </w:r>
          </w:p>
        </w:tc>
        <w:tc>
          <w:tcPr>
            <w:tcW w:w="7052" w:type="dxa"/>
            <w:shd w:val="clear" w:color="auto" w:fill="auto"/>
          </w:tcPr>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r w:rsidRPr="001B441D">
              <w:rPr>
                <w:rFonts w:ascii="Times New Roman" w:eastAsia="MS Mincho" w:hAnsi="Times New Roman" w:cs="Times New Roman"/>
                <w:color w:val="000000"/>
                <w:sz w:val="24"/>
                <w:szCs w:val="20"/>
              </w:rPr>
              <w:t>Низкое воздействие. Отсутствие воздействия на бизнес или пользователей.</w:t>
            </w:r>
          </w:p>
        </w:tc>
      </w:tr>
    </w:tbl>
    <w:p w:rsidR="001B441D" w:rsidRPr="001B441D" w:rsidRDefault="001B441D" w:rsidP="001B441D">
      <w:pPr>
        <w:tabs>
          <w:tab w:val="left" w:pos="187"/>
        </w:tabs>
        <w:spacing w:after="0" w:line="240" w:lineRule="auto"/>
        <w:jc w:val="both"/>
        <w:rPr>
          <w:rFonts w:ascii="Times New Roman" w:eastAsia="MS Mincho" w:hAnsi="Times New Roman" w:cs="Times New Roman"/>
          <w:color w:val="000000"/>
          <w:sz w:val="24"/>
          <w:szCs w:val="20"/>
        </w:rPr>
      </w:pP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2. Состав оказываемых услуг</w:t>
      </w:r>
    </w:p>
    <w:p w:rsidR="001B441D" w:rsidRPr="001B441D" w:rsidRDefault="001B441D" w:rsidP="001B441D">
      <w:pPr>
        <w:spacing w:after="0" w:line="276" w:lineRule="auto"/>
        <w:ind w:left="-567"/>
        <w:jc w:val="both"/>
        <w:rPr>
          <w:rFonts w:ascii="Times New Roman" w:eastAsia="Calibri"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0"/>
        <w:gridCol w:w="4786"/>
      </w:tblGrid>
      <w:tr w:rsidR="001B441D" w:rsidRPr="001B441D" w:rsidTr="00A27B26">
        <w:tc>
          <w:tcPr>
            <w:tcW w:w="4110"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Группа</w:t>
            </w:r>
          </w:p>
        </w:tc>
        <w:tc>
          <w:tcPr>
            <w:tcW w:w="4786"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4"/>
                <w:szCs w:val="24"/>
              </w:rPr>
            </w:pPr>
          </w:p>
        </w:tc>
      </w:tr>
      <w:tr w:rsidR="001B441D" w:rsidRPr="001B441D" w:rsidTr="00A27B26">
        <w:tc>
          <w:tcPr>
            <w:tcW w:w="4110"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Основные компоненты</w:t>
            </w:r>
          </w:p>
        </w:tc>
        <w:tc>
          <w:tcPr>
            <w:tcW w:w="4786"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Группа дистанционной поддержки: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Эксперт по технической поддержке</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Координатор управления заявкой</w:t>
            </w:r>
          </w:p>
        </w:tc>
      </w:tr>
      <w:tr w:rsidR="001B441D" w:rsidRPr="001B441D" w:rsidTr="00A27B26">
        <w:tc>
          <w:tcPr>
            <w:tcW w:w="4110"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4"/>
                <w:szCs w:val="24"/>
              </w:rPr>
            </w:pPr>
            <w:proofErr w:type="spellStart"/>
            <w:r w:rsidRPr="001B441D">
              <w:rPr>
                <w:rFonts w:ascii="Times New Roman" w:eastAsia="Calibri" w:hAnsi="Times New Roman" w:cs="Times New Roman"/>
                <w:sz w:val="24"/>
                <w:szCs w:val="24"/>
              </w:rPr>
              <w:t>Проактивные</w:t>
            </w:r>
            <w:proofErr w:type="spellEnd"/>
            <w:r w:rsidRPr="001B441D">
              <w:rPr>
                <w:rFonts w:ascii="Times New Roman" w:eastAsia="Calibri" w:hAnsi="Times New Roman" w:cs="Times New Roman"/>
                <w:sz w:val="24"/>
                <w:szCs w:val="24"/>
              </w:rPr>
              <w:t xml:space="preserve"> компоненты</w:t>
            </w:r>
          </w:p>
        </w:tc>
        <w:tc>
          <w:tcPr>
            <w:tcW w:w="4786"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Основные компоненты:</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Анализ и рекомендации по версиям микропрограммного обеспечения и исправлениям программного обеспечения</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proofErr w:type="spellStart"/>
            <w:r w:rsidRPr="001B441D">
              <w:rPr>
                <w:rFonts w:ascii="Times New Roman" w:eastAsia="Calibri" w:hAnsi="Times New Roman" w:cs="Times New Roman"/>
                <w:sz w:val="20"/>
                <w:szCs w:val="24"/>
              </w:rPr>
              <w:t>Проактивное</w:t>
            </w:r>
            <w:proofErr w:type="spellEnd"/>
            <w:r w:rsidRPr="001B441D">
              <w:rPr>
                <w:rFonts w:ascii="Times New Roman" w:eastAsia="Calibri" w:hAnsi="Times New Roman" w:cs="Times New Roman"/>
                <w:sz w:val="20"/>
                <w:szCs w:val="24"/>
              </w:rPr>
              <w:t xml:space="preserve"> сканирование</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Отчеты об инцидентах</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Решение для дистанционной поддержки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Помощь при внедрении технологии дистанционной</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поддержки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Центр поддержки HPE</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Дополнительные компоненты:</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Персонализированная поддержка</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План технической поддержки.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Регулярный обзор предоставления услуг</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Персонализированное управление эскалацией при возникновении события</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Повышение доступности и производительности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Анализ ресурсов и производительности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 Анализ доступности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 xml:space="preserve">Оптимизация программного обеспечения </w:t>
            </w:r>
            <w:proofErr w:type="spellStart"/>
            <w:r w:rsidRPr="001B441D">
              <w:rPr>
                <w:rFonts w:ascii="Times New Roman" w:eastAsia="Calibri" w:hAnsi="Times New Roman" w:cs="Times New Roman"/>
                <w:sz w:val="20"/>
                <w:szCs w:val="24"/>
              </w:rPr>
              <w:t>Insight</w:t>
            </w:r>
            <w:proofErr w:type="spellEnd"/>
            <w:r w:rsidRPr="001B441D">
              <w:rPr>
                <w:rFonts w:ascii="Times New Roman" w:eastAsia="Calibri" w:hAnsi="Times New Roman" w:cs="Times New Roman"/>
                <w:sz w:val="20"/>
                <w:szCs w:val="24"/>
              </w:rPr>
              <w:t xml:space="preserve"> </w:t>
            </w:r>
            <w:proofErr w:type="spellStart"/>
            <w:r w:rsidRPr="001B441D">
              <w:rPr>
                <w:rFonts w:ascii="Times New Roman" w:eastAsia="Calibri" w:hAnsi="Times New Roman" w:cs="Times New Roman"/>
                <w:sz w:val="20"/>
                <w:szCs w:val="24"/>
              </w:rPr>
              <w:t>Software</w:t>
            </w:r>
            <w:proofErr w:type="spellEnd"/>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Экспертиза по запросу</w:t>
            </w:r>
          </w:p>
        </w:tc>
      </w:tr>
      <w:tr w:rsidR="001B441D" w:rsidRPr="001B441D" w:rsidTr="00A27B26">
        <w:tc>
          <w:tcPr>
            <w:tcW w:w="4110"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4"/>
                <w:szCs w:val="24"/>
              </w:rPr>
              <w:t>Реактивные компоненты</w:t>
            </w:r>
          </w:p>
        </w:tc>
        <w:tc>
          <w:tcPr>
            <w:tcW w:w="4786" w:type="dxa"/>
            <w:shd w:val="clear" w:color="auto" w:fill="auto"/>
          </w:tcPr>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Основные компоненты:</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Круглосуточный график предоставления услуг дистанционной поддержки (24x7)</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Центр приоритетной поддержки HPE</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Круглосуточная реакция на критические проблемы с оборудованием и программным обеспечением (24x7).</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Ускоренное управление эскалацией при возникновении события</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Дистанционная поддержка и диагностика событий с оборудованием и программным обеспечением</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Решения HPE для удаленной поддержки с помощью электронных средств связи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Совместная обработка инцидентов с продуктами, отличными от HPE</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Доступ к электронной информации о поддержке и услугах</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Запасные детали и материалы</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Работа до полного устранения неисправности</w:t>
            </w:r>
          </w:p>
          <w:p w:rsidR="001B441D" w:rsidRPr="001B441D" w:rsidRDefault="001B441D" w:rsidP="001B441D">
            <w:pPr>
              <w:spacing w:after="0" w:line="276" w:lineRule="auto"/>
              <w:jc w:val="both"/>
              <w:rPr>
                <w:rFonts w:ascii="Times New Roman" w:eastAsia="Calibri" w:hAnsi="Times New Roman" w:cs="Times New Roman"/>
                <w:sz w:val="20"/>
                <w:szCs w:val="24"/>
              </w:rPr>
            </w:pPr>
            <w:r w:rsidRPr="001B441D">
              <w:rPr>
                <w:rFonts w:ascii="Times New Roman" w:eastAsia="Calibri" w:hAnsi="Times New Roman" w:cs="Times New Roman"/>
                <w:sz w:val="20"/>
                <w:szCs w:val="24"/>
              </w:rPr>
              <w:t>Дополнительные компоненты:</w:t>
            </w:r>
          </w:p>
          <w:p w:rsidR="001B441D" w:rsidRPr="001B441D" w:rsidRDefault="001B441D" w:rsidP="001B441D">
            <w:pPr>
              <w:spacing w:after="0" w:line="276" w:lineRule="auto"/>
              <w:jc w:val="both"/>
              <w:rPr>
                <w:rFonts w:ascii="Times New Roman" w:eastAsia="Calibri" w:hAnsi="Times New Roman" w:cs="Times New Roman"/>
                <w:sz w:val="24"/>
                <w:szCs w:val="24"/>
              </w:rPr>
            </w:pPr>
            <w:r w:rsidRPr="001B441D">
              <w:rPr>
                <w:rFonts w:ascii="Times New Roman" w:eastAsia="Calibri" w:hAnsi="Times New Roman" w:cs="Times New Roman"/>
                <w:sz w:val="20"/>
                <w:szCs w:val="24"/>
              </w:rPr>
              <w:t>•</w:t>
            </w:r>
            <w:r w:rsidRPr="001B441D">
              <w:rPr>
                <w:rFonts w:ascii="Times New Roman" w:eastAsia="Calibri" w:hAnsi="Times New Roman" w:cs="Times New Roman"/>
                <w:sz w:val="20"/>
                <w:szCs w:val="24"/>
                <w:lang w:val="en-US"/>
              </w:rPr>
              <w:t> </w:t>
            </w:r>
            <w:r w:rsidRPr="001B441D">
              <w:rPr>
                <w:rFonts w:ascii="Times New Roman" w:eastAsia="Calibri" w:hAnsi="Times New Roman" w:cs="Times New Roman"/>
                <w:sz w:val="20"/>
                <w:szCs w:val="24"/>
              </w:rPr>
              <w:t>Возможность невозврата заказчиком неисправных носителей</w:t>
            </w:r>
          </w:p>
        </w:tc>
      </w:tr>
    </w:tbl>
    <w:p w:rsidR="001B441D" w:rsidRPr="001B441D" w:rsidRDefault="001B441D" w:rsidP="001B441D">
      <w:pPr>
        <w:spacing w:after="0" w:line="276" w:lineRule="auto"/>
        <w:jc w:val="both"/>
        <w:rPr>
          <w:rFonts w:ascii="Times New Roman" w:eastAsia="Calibri" w:hAnsi="Times New Roman" w:cs="Times New Roman"/>
          <w:sz w:val="24"/>
          <w:szCs w:val="24"/>
        </w:rPr>
      </w:pPr>
    </w:p>
    <w:p w:rsidR="001B441D" w:rsidRDefault="001B441D" w:rsidP="001B441D">
      <w:pPr>
        <w:spacing w:after="200" w:line="276" w:lineRule="auto"/>
        <w:rPr>
          <w:rFonts w:ascii="Times New Roman" w:eastAsia="Calibri" w:hAnsi="Times New Roman" w:cs="Times New Roman"/>
          <w:sz w:val="20"/>
          <w:szCs w:val="20"/>
        </w:rPr>
      </w:pPr>
    </w:p>
    <w:p w:rsidR="002E2C72" w:rsidRDefault="002E2C72" w:rsidP="001B441D">
      <w:pPr>
        <w:spacing w:after="200" w:line="276" w:lineRule="auto"/>
        <w:rPr>
          <w:rFonts w:ascii="Times New Roman" w:eastAsia="Calibri" w:hAnsi="Times New Roman" w:cs="Times New Roman"/>
          <w:sz w:val="20"/>
          <w:szCs w:val="20"/>
        </w:rPr>
      </w:pPr>
    </w:p>
    <w:p w:rsidR="002E2C72" w:rsidRDefault="002E2C72" w:rsidP="001B441D">
      <w:pPr>
        <w:spacing w:after="200" w:line="276" w:lineRule="auto"/>
        <w:rPr>
          <w:rFonts w:ascii="Times New Roman" w:eastAsia="Calibri" w:hAnsi="Times New Roman" w:cs="Times New Roman"/>
          <w:sz w:val="20"/>
          <w:szCs w:val="20"/>
        </w:rPr>
      </w:pPr>
    </w:p>
    <w:p w:rsidR="002E2C72" w:rsidRPr="001B441D" w:rsidRDefault="002E2C72" w:rsidP="001B441D">
      <w:pPr>
        <w:spacing w:after="200" w:line="276" w:lineRule="auto"/>
        <w:rPr>
          <w:rFonts w:ascii="Times New Roman" w:eastAsia="Calibri" w:hAnsi="Times New Roman" w:cs="Times New Roman"/>
          <w:sz w:val="20"/>
          <w:szCs w:val="20"/>
        </w:rPr>
      </w:pPr>
    </w:p>
    <w:p w:rsidR="001B441D" w:rsidRPr="001B441D" w:rsidRDefault="001B441D" w:rsidP="001B441D">
      <w:pPr>
        <w:spacing w:after="200" w:line="276" w:lineRule="auto"/>
        <w:rPr>
          <w:rFonts w:ascii="Times New Roman" w:eastAsia="Calibri" w:hAnsi="Times New Roman" w:cs="Times New Roman"/>
          <w:sz w:val="20"/>
          <w:szCs w:val="20"/>
        </w:rPr>
      </w:pPr>
    </w:p>
    <w:p w:rsidR="001B441D" w:rsidRPr="001B441D" w:rsidRDefault="001B441D" w:rsidP="001B441D">
      <w:pPr>
        <w:spacing w:after="200" w:line="276" w:lineRule="auto"/>
        <w:rPr>
          <w:rFonts w:ascii="Times New Roman" w:eastAsia="Calibri" w:hAnsi="Times New Roman" w:cs="Times New Roman"/>
          <w:sz w:val="24"/>
          <w:szCs w:val="20"/>
        </w:rPr>
      </w:pPr>
      <w:r w:rsidRPr="001B441D">
        <w:rPr>
          <w:rFonts w:ascii="Times New Roman" w:eastAsia="Calibri" w:hAnsi="Times New Roman" w:cs="Times New Roman"/>
          <w:sz w:val="20"/>
          <w:szCs w:val="20"/>
        </w:rPr>
        <w:t>Спецификация поддержки</w:t>
      </w:r>
    </w:p>
    <w:p w:rsidR="001B441D" w:rsidRPr="001B441D" w:rsidRDefault="001B441D" w:rsidP="001B441D">
      <w:pPr>
        <w:keepNext/>
        <w:autoSpaceDE w:val="0"/>
        <w:autoSpaceDN w:val="0"/>
        <w:adjustRightInd w:val="0"/>
        <w:spacing w:after="120" w:line="240" w:lineRule="auto"/>
        <w:outlineLvl w:val="1"/>
        <w:rPr>
          <w:rFonts w:ascii="Times New Roman" w:eastAsia="MS Mincho" w:hAnsi="Times New Roman" w:cs="Times New Roman"/>
          <w:sz w:val="20"/>
          <w:szCs w:val="20"/>
        </w:rPr>
      </w:pPr>
      <w:r w:rsidRPr="001B441D">
        <w:rPr>
          <w:rFonts w:ascii="Times New Roman" w:eastAsia="MS Mincho" w:hAnsi="Times New Roman" w:cs="Times New Roman"/>
          <w:sz w:val="20"/>
          <w:szCs w:val="20"/>
        </w:rPr>
        <w:t>Таблица 1. Группа поддержки</w:t>
      </w:r>
    </w:p>
    <w:tbl>
      <w:tblPr>
        <w:tblpPr w:leftFromText="180" w:rightFromText="180" w:vertAnchor="text" w:horzAnchor="page" w:tblpX="1762" w:tblpY="135"/>
        <w:tblW w:w="9639" w:type="dxa"/>
        <w:tblLook w:val="04A0" w:firstRow="1" w:lastRow="0" w:firstColumn="1" w:lastColumn="0" w:noHBand="0" w:noVBand="1"/>
      </w:tblPr>
      <w:tblGrid>
        <w:gridCol w:w="2966"/>
        <w:gridCol w:w="6673"/>
      </w:tblGrid>
      <w:tr w:rsidR="001B441D" w:rsidRPr="001B441D" w:rsidTr="00A27B26">
        <w:tc>
          <w:tcPr>
            <w:tcW w:w="3510" w:type="dxa"/>
            <w:tcBorders>
              <w:bottom w:val="single" w:sz="4" w:space="0" w:color="auto"/>
              <w:right w:val="single" w:sz="4" w:space="0" w:color="auto"/>
            </w:tcBorders>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Компонент услуги или услуга</w:t>
            </w:r>
          </w:p>
        </w:tc>
        <w:tc>
          <w:tcPr>
            <w:tcW w:w="8637" w:type="dxa"/>
            <w:tcBorders>
              <w:left w:val="single" w:sz="4" w:space="0" w:color="auto"/>
              <w:bottom w:val="single" w:sz="4" w:space="0" w:color="auto"/>
            </w:tcBorders>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Особенности предоставления</w:t>
            </w:r>
          </w:p>
        </w:tc>
      </w:tr>
      <w:tr w:rsidR="001B441D" w:rsidRPr="001B441D" w:rsidTr="00A27B26">
        <w:tc>
          <w:tcPr>
            <w:tcW w:w="3510" w:type="dxa"/>
            <w:tcBorders>
              <w:top w:val="single" w:sz="4" w:space="0" w:color="auto"/>
              <w:left w:val="single" w:sz="4" w:space="0" w:color="auto"/>
              <w:bottom w:val="single" w:sz="4" w:space="0" w:color="auto"/>
              <w:right w:val="single" w:sz="4" w:space="0" w:color="auto"/>
            </w:tcBorders>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Основные компоненты</w:t>
            </w:r>
          </w:p>
        </w:tc>
        <w:tc>
          <w:tcPr>
            <w:tcW w:w="8637" w:type="dxa"/>
            <w:tcBorders>
              <w:top w:val="single" w:sz="4" w:space="0" w:color="auto"/>
              <w:left w:val="single" w:sz="4" w:space="0" w:color="auto"/>
              <w:bottom w:val="single" w:sz="4" w:space="0" w:color="auto"/>
              <w:right w:val="single" w:sz="4" w:space="0" w:color="auto"/>
            </w:tcBorders>
            <w:shd w:val="clear" w:color="auto" w:fill="auto"/>
          </w:tcPr>
          <w:p w:rsidR="001B441D" w:rsidRPr="001B441D" w:rsidRDefault="001B441D" w:rsidP="001B441D">
            <w:pPr>
              <w:spacing w:after="200" w:line="276" w:lineRule="auto"/>
              <w:rPr>
                <w:rFonts w:ascii="Times New Roman" w:eastAsia="MS Mincho" w:hAnsi="Times New Roman" w:cs="Times New Roman"/>
                <w:sz w:val="20"/>
                <w:szCs w:val="20"/>
              </w:rPr>
            </w:pPr>
          </w:p>
        </w:tc>
      </w:tr>
      <w:tr w:rsidR="001B441D" w:rsidRPr="001B441D" w:rsidTr="00A27B26">
        <w:tc>
          <w:tcPr>
            <w:tcW w:w="3510" w:type="dxa"/>
            <w:tcBorders>
              <w:top w:val="single" w:sz="4" w:space="0" w:color="auto"/>
            </w:tcBorders>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lang w:val="en-US"/>
              </w:rPr>
            </w:pPr>
            <w:r w:rsidRPr="001B441D">
              <w:rPr>
                <w:rFonts w:ascii="Times New Roman" w:eastAsia="MS Mincho" w:hAnsi="Times New Roman" w:cs="Times New Roman"/>
                <w:b/>
                <w:bCs/>
                <w:sz w:val="20"/>
                <w:szCs w:val="20"/>
              </w:rPr>
              <w:t>Группа дистанционно</w:t>
            </w:r>
            <w:r w:rsidRPr="001B441D">
              <w:rPr>
                <w:rFonts w:ascii="Times New Roman" w:eastAsia="MS Mincho" w:hAnsi="Times New Roman" w:cs="Times New Roman"/>
                <w:b/>
                <w:bCs/>
                <w:sz w:val="20"/>
                <w:szCs w:val="20"/>
                <w:lang w:val="en-US"/>
              </w:rPr>
              <w:t xml:space="preserve">й </w:t>
            </w:r>
            <w:proofErr w:type="spellStart"/>
            <w:r w:rsidRPr="001B441D">
              <w:rPr>
                <w:rFonts w:ascii="Times New Roman" w:eastAsia="MS Mincho" w:hAnsi="Times New Roman" w:cs="Times New Roman"/>
                <w:b/>
                <w:bCs/>
                <w:sz w:val="20"/>
                <w:szCs w:val="20"/>
                <w:lang w:val="en-US"/>
              </w:rPr>
              <w:t>поддержки</w:t>
            </w:r>
            <w:proofErr w:type="spellEnd"/>
          </w:p>
        </w:tc>
        <w:tc>
          <w:tcPr>
            <w:tcW w:w="8637" w:type="dxa"/>
            <w:tcBorders>
              <w:top w:val="single" w:sz="4" w:space="0" w:color="auto"/>
            </w:tcBorders>
            <w:shd w:val="clear" w:color="auto" w:fill="auto"/>
          </w:tcPr>
          <w:p w:rsidR="001B441D" w:rsidRPr="001B441D" w:rsidRDefault="001B441D" w:rsidP="001B441D">
            <w:pPr>
              <w:spacing w:before="60" w:after="6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Заказчику предоставляется доступ к центру приоритетной поддержки (</w:t>
            </w:r>
            <w:r w:rsidRPr="001B441D">
              <w:rPr>
                <w:rFonts w:ascii="Times New Roman" w:eastAsia="MS Mincho" w:hAnsi="Times New Roman" w:cs="Times New Roman"/>
                <w:sz w:val="20"/>
                <w:szCs w:val="20"/>
                <w:lang w:val="en-US"/>
              </w:rPr>
              <w:t>ASC</w:t>
            </w:r>
            <w:r w:rsidRPr="001B441D">
              <w:rPr>
                <w:rFonts w:ascii="Times New Roman" w:eastAsia="MS Mincho" w:hAnsi="Times New Roman" w:cs="Times New Roman"/>
                <w:sz w:val="20"/>
                <w:szCs w:val="20"/>
              </w:rPr>
              <w:t xml:space="preserve">). С помощью этого центра заказчики могут обратиться к следующим сертифицированным техническим специалистам. </w:t>
            </w:r>
          </w:p>
        </w:tc>
      </w:tr>
      <w:tr w:rsidR="001B441D" w:rsidRPr="001B441D" w:rsidTr="00A27B26">
        <w:tc>
          <w:tcPr>
            <w:tcW w:w="3510" w:type="dxa"/>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Эксперт по технической поддержке</w:t>
            </w:r>
          </w:p>
        </w:tc>
        <w:tc>
          <w:tcPr>
            <w:tcW w:w="8637" w:type="dxa"/>
            <w:shd w:val="clear" w:color="auto" w:fill="auto"/>
          </w:tcPr>
          <w:p w:rsidR="001B441D" w:rsidRPr="001B441D" w:rsidRDefault="001B441D" w:rsidP="001B441D">
            <w:pPr>
              <w:spacing w:before="60" w:after="6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Эксперт по технической поддержке предоставляет заказчику </w:t>
            </w:r>
            <w:proofErr w:type="spellStart"/>
            <w:r w:rsidRPr="001B441D">
              <w:rPr>
                <w:rFonts w:ascii="Times New Roman" w:eastAsia="MS Mincho" w:hAnsi="Times New Roman" w:cs="Times New Roman"/>
                <w:sz w:val="20"/>
                <w:szCs w:val="20"/>
              </w:rPr>
              <w:t>проактивные</w:t>
            </w:r>
            <w:proofErr w:type="spellEnd"/>
            <w:r w:rsidRPr="001B441D">
              <w:rPr>
                <w:rFonts w:ascii="Times New Roman" w:eastAsia="MS Mincho" w:hAnsi="Times New Roman" w:cs="Times New Roman"/>
                <w:sz w:val="20"/>
                <w:szCs w:val="20"/>
              </w:rPr>
              <w:t xml:space="preserve"> услуги и является невыделенным дистанционным ресурсом, с помощью которого выполняется анализ и предоставляется </w:t>
            </w:r>
            <w:proofErr w:type="spellStart"/>
            <w:r w:rsidRPr="001B441D">
              <w:rPr>
                <w:rFonts w:ascii="Times New Roman" w:eastAsia="MS Mincho" w:hAnsi="Times New Roman" w:cs="Times New Roman"/>
                <w:sz w:val="20"/>
                <w:szCs w:val="20"/>
              </w:rPr>
              <w:t>проактивное</w:t>
            </w:r>
            <w:proofErr w:type="spellEnd"/>
            <w:r w:rsidRPr="001B441D">
              <w:rPr>
                <w:rFonts w:ascii="Times New Roman" w:eastAsia="MS Mincho" w:hAnsi="Times New Roman" w:cs="Times New Roman"/>
                <w:sz w:val="20"/>
                <w:szCs w:val="20"/>
              </w:rPr>
              <w:t xml:space="preserve"> </w:t>
            </w:r>
            <w:proofErr w:type="gramStart"/>
            <w:r w:rsidRPr="001B441D">
              <w:rPr>
                <w:rFonts w:ascii="Times New Roman" w:eastAsia="MS Mincho" w:hAnsi="Times New Roman" w:cs="Times New Roman"/>
                <w:sz w:val="20"/>
                <w:szCs w:val="20"/>
              </w:rPr>
              <w:t xml:space="preserve">обслуживание.  </w:t>
            </w:r>
            <w:proofErr w:type="gramEnd"/>
          </w:p>
        </w:tc>
      </w:tr>
      <w:tr w:rsidR="001B441D" w:rsidRPr="001B441D" w:rsidTr="00A27B26">
        <w:trPr>
          <w:trHeight w:val="408"/>
        </w:trPr>
        <w:tc>
          <w:tcPr>
            <w:tcW w:w="3510"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Координатор управления заявкой</w:t>
            </w:r>
          </w:p>
        </w:tc>
        <w:tc>
          <w:tcPr>
            <w:tcW w:w="8637" w:type="dxa"/>
            <w:shd w:val="clear" w:color="auto" w:fill="auto"/>
          </w:tcPr>
          <w:p w:rsidR="001B441D" w:rsidRPr="001B441D" w:rsidRDefault="001B441D" w:rsidP="001B441D">
            <w:pPr>
              <w:spacing w:before="60" w:after="60" w:line="240" w:lineRule="auto"/>
              <w:ind w:lef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Координатор управления заявкой обеспечивает поддержку при возникновении инцидентов. Данный специалист первый работает с заказчиком при решении технической проблемы. </w:t>
            </w:r>
          </w:p>
        </w:tc>
      </w:tr>
    </w:tbl>
    <w:p w:rsidR="001B441D" w:rsidRPr="001B441D" w:rsidRDefault="001B441D" w:rsidP="001B441D">
      <w:pPr>
        <w:spacing w:after="0" w:line="276" w:lineRule="auto"/>
        <w:ind w:left="-426"/>
        <w:jc w:val="both"/>
        <w:rPr>
          <w:rFonts w:ascii="Times New Roman" w:eastAsia="Calibri" w:hAnsi="Times New Roman" w:cs="Times New Roman"/>
          <w:sz w:val="24"/>
          <w:szCs w:val="24"/>
        </w:rPr>
      </w:pPr>
    </w:p>
    <w:p w:rsidR="001B441D" w:rsidRPr="001B441D" w:rsidRDefault="001B441D" w:rsidP="001B441D">
      <w:pPr>
        <w:spacing w:after="0" w:line="276" w:lineRule="auto"/>
        <w:jc w:val="both"/>
        <w:rPr>
          <w:rFonts w:ascii="Times New Roman" w:eastAsia="Calibri" w:hAnsi="Times New Roman" w:cs="Times New Roman"/>
          <w:sz w:val="24"/>
          <w:szCs w:val="24"/>
        </w:rPr>
      </w:pPr>
    </w:p>
    <w:p w:rsidR="001B441D" w:rsidRPr="001B441D" w:rsidRDefault="001B441D" w:rsidP="001B441D">
      <w:pPr>
        <w:keepNext/>
        <w:spacing w:before="240" w:after="60" w:line="276" w:lineRule="auto"/>
        <w:outlineLvl w:val="2"/>
        <w:rPr>
          <w:rFonts w:ascii="Times New Roman" w:eastAsia="Times New Roman" w:hAnsi="Times New Roman" w:cs="Times New Roman"/>
          <w:bCs/>
          <w:sz w:val="20"/>
          <w:szCs w:val="20"/>
        </w:rPr>
      </w:pPr>
      <w:r w:rsidRPr="001B441D">
        <w:rPr>
          <w:rFonts w:ascii="Times New Roman" w:eastAsia="Times New Roman" w:hAnsi="Times New Roman" w:cs="Times New Roman"/>
          <w:bCs/>
          <w:sz w:val="20"/>
          <w:szCs w:val="20"/>
        </w:rPr>
        <w:t xml:space="preserve">Таблица 2. </w:t>
      </w:r>
      <w:proofErr w:type="spellStart"/>
      <w:r w:rsidRPr="001B441D">
        <w:rPr>
          <w:rFonts w:ascii="Times New Roman" w:eastAsia="Times New Roman" w:hAnsi="Times New Roman" w:cs="Times New Roman"/>
          <w:bCs/>
          <w:sz w:val="20"/>
          <w:szCs w:val="20"/>
        </w:rPr>
        <w:t>Проактивные</w:t>
      </w:r>
      <w:proofErr w:type="spellEnd"/>
      <w:r w:rsidRPr="001B441D">
        <w:rPr>
          <w:rFonts w:ascii="Times New Roman" w:eastAsia="Times New Roman" w:hAnsi="Times New Roman" w:cs="Times New Roman"/>
          <w:bCs/>
          <w:sz w:val="20"/>
          <w:szCs w:val="20"/>
        </w:rPr>
        <w:t xml:space="preserve"> компоненты</w:t>
      </w:r>
    </w:p>
    <w:tbl>
      <w:tblPr>
        <w:tblW w:w="9639" w:type="dxa"/>
        <w:tblInd w:w="250" w:type="dxa"/>
        <w:tblLook w:val="00A0" w:firstRow="1" w:lastRow="0" w:firstColumn="1" w:lastColumn="0" w:noHBand="0" w:noVBand="0"/>
      </w:tblPr>
      <w:tblGrid>
        <w:gridCol w:w="2504"/>
        <w:gridCol w:w="7135"/>
      </w:tblGrid>
      <w:tr w:rsidR="001B441D" w:rsidRPr="001B441D" w:rsidTr="00A27B26">
        <w:tc>
          <w:tcPr>
            <w:tcW w:w="2504" w:type="dxa"/>
            <w:tcBorders>
              <w:bottom w:val="single" w:sz="12" w:space="0" w:color="000000"/>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Компонент</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услуги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или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услуга</w:t>
            </w:r>
            <w:proofErr w:type="spellEnd"/>
          </w:p>
        </w:tc>
        <w:tc>
          <w:tcPr>
            <w:tcW w:w="7135" w:type="dxa"/>
            <w:tcBorders>
              <w:bottom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Особенности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предоставления</w:t>
            </w:r>
            <w:proofErr w:type="spellEnd"/>
          </w:p>
        </w:tc>
      </w:tr>
      <w:tr w:rsidR="001B441D" w:rsidRPr="001B441D" w:rsidTr="00A27B26">
        <w:tc>
          <w:tcPr>
            <w:tcW w:w="2504" w:type="dxa"/>
            <w:tcBorders>
              <w:top w:val="single" w:sz="12" w:space="0" w:color="000000"/>
              <w:bottom w:val="single" w:sz="4" w:space="0" w:color="auto"/>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Основные</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компоненты</w:t>
            </w:r>
            <w:proofErr w:type="spellEnd"/>
          </w:p>
        </w:tc>
        <w:tc>
          <w:tcPr>
            <w:tcW w:w="7135" w:type="dxa"/>
            <w:tcBorders>
              <w:top w:val="single" w:sz="12" w:space="0" w:color="000000"/>
              <w:bottom w:val="single" w:sz="4" w:space="0" w:color="auto"/>
            </w:tcBorders>
            <w:shd w:val="clear" w:color="auto" w:fill="auto"/>
          </w:tcPr>
          <w:p w:rsidR="001B441D" w:rsidRPr="001B441D" w:rsidRDefault="001B441D" w:rsidP="001B441D">
            <w:pPr>
              <w:spacing w:after="200" w:line="276" w:lineRule="auto"/>
              <w:rPr>
                <w:rFonts w:ascii="Times New Roman" w:eastAsia="MS Mincho" w:hAnsi="Times New Roman" w:cs="Times New Roman"/>
                <w:sz w:val="20"/>
                <w:szCs w:val="20"/>
              </w:rPr>
            </w:pPr>
          </w:p>
        </w:tc>
      </w:tr>
      <w:tr w:rsidR="001B441D" w:rsidRPr="001B441D" w:rsidTr="00A27B26">
        <w:tc>
          <w:tcPr>
            <w:tcW w:w="2504" w:type="dxa"/>
            <w:tcBorders>
              <w:top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Анализ и рекомендации по версии микропрограммного обеспечения и исправлению программного обеспечения</w:t>
            </w:r>
          </w:p>
        </w:tc>
        <w:tc>
          <w:tcPr>
            <w:tcW w:w="7135" w:type="dxa"/>
            <w:tcBorders>
              <w:top w:val="single" w:sz="4" w:space="0" w:color="auto"/>
            </w:tcBorders>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предоставляет рекомендации относительно применимых версий, исправлений программного обеспечения и версий микропрограммного обеспечения.</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предоставит следующие основные услуги в рамках анализа и предоставления рекомендаций по обновлениям микропрограммного обеспечения и исправлениям программного обеспечения.</w:t>
            </w:r>
          </w:p>
        </w:tc>
      </w:tr>
      <w:tr w:rsidR="001B441D" w:rsidRPr="001B441D" w:rsidTr="00A27B26">
        <w:tc>
          <w:tcPr>
            <w:tcW w:w="2504"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Рекомендации по версиям микропрограммного обеспечения </w:t>
            </w:r>
          </w:p>
        </w:tc>
        <w:tc>
          <w:tcPr>
            <w:tcW w:w="7135" w:type="dxa"/>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Анализ. Для системы хранения и сетевых устройств анализ микропрограммного обеспечения распространяется на все поддерживаемые устройства в рамках услуги </w:t>
            </w:r>
            <w:r w:rsidRPr="001B441D">
              <w:rPr>
                <w:rFonts w:ascii="Times New Roman" w:eastAsia="MS Mincho" w:hAnsi="Times New Roman" w:cs="Times New Roman"/>
                <w:sz w:val="20"/>
                <w:szCs w:val="20"/>
                <w:lang w:val="en-US"/>
              </w:rPr>
              <w:t>Proactive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Care</w:t>
            </w:r>
            <w:r w:rsidRPr="001B441D">
              <w:rPr>
                <w:rFonts w:ascii="Times New Roman" w:eastAsia="MS Mincho" w:hAnsi="Times New Roman" w:cs="Times New Roman"/>
                <w:sz w:val="20"/>
                <w:szCs w:val="20"/>
              </w:rPr>
              <w:t>.</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Установка. Микропрограммное обеспечение, определенное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как не устанавливаемое заказчиком и которое нельзя установить дистанционно,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может установить у заказчика.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устанавливает эти версии микропрограммного обеспечения по запросу заказчика либо во время стандартных рабочих часов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либо во время сверхурочного времени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без взимания дополнительной платы с заказчика. При наличии вопросов у заказчиков относительно микропрограммного обеспечения, определенного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как устанавливаемое заказчиком,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предоставляет поддержку по телефону в соответствии с графиком предоставления услуг по оборудованию. </w:t>
            </w:r>
          </w:p>
        </w:tc>
      </w:tr>
    </w:tbl>
    <w:p w:rsidR="001B441D" w:rsidRPr="001B441D" w:rsidRDefault="001B441D" w:rsidP="001B441D">
      <w:pPr>
        <w:spacing w:after="0" w:line="276" w:lineRule="auto"/>
        <w:rPr>
          <w:rFonts w:ascii="Times New Roman" w:eastAsia="Calibri" w:hAnsi="Times New Roman" w:cs="Times New Roman"/>
          <w:vanish/>
        </w:rPr>
      </w:pPr>
    </w:p>
    <w:tbl>
      <w:tblPr>
        <w:tblpPr w:leftFromText="180" w:rightFromText="180" w:vertAnchor="text" w:horzAnchor="page" w:tblpX="1864" w:tblpY="612"/>
        <w:tblW w:w="9500" w:type="dxa"/>
        <w:tblLook w:val="00A0" w:firstRow="1" w:lastRow="0" w:firstColumn="1" w:lastColumn="0" w:noHBand="0" w:noVBand="0"/>
      </w:tblPr>
      <w:tblGrid>
        <w:gridCol w:w="1985"/>
        <w:gridCol w:w="7515"/>
      </w:tblGrid>
      <w:tr w:rsidR="001B441D" w:rsidRPr="001B441D" w:rsidTr="002E2C72">
        <w:tc>
          <w:tcPr>
            <w:tcW w:w="198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Анализ и предоставление рекомендаций по исправлению программного обеспечения</w:t>
            </w:r>
          </w:p>
        </w:tc>
        <w:tc>
          <w:tcPr>
            <w:tcW w:w="7515" w:type="dxa"/>
            <w:shd w:val="clear" w:color="auto" w:fill="auto"/>
          </w:tcPr>
          <w:p w:rsidR="001B441D" w:rsidRPr="001B441D" w:rsidRDefault="001B441D" w:rsidP="001B441D">
            <w:pPr>
              <w:spacing w:after="0" w:line="240" w:lineRule="auto"/>
              <w:jc w:val="both"/>
              <w:rPr>
                <w:rFonts w:ascii="Times New Roman" w:eastAsia="MS Mincho" w:hAnsi="Times New Roman" w:cs="Times New Roman"/>
                <w:b/>
                <w:bCs/>
                <w:sz w:val="20"/>
                <w:szCs w:val="20"/>
              </w:rPr>
            </w:pPr>
            <w:r w:rsidRPr="001B441D">
              <w:rPr>
                <w:rFonts w:ascii="Times New Roman" w:eastAsia="MS Mincho" w:hAnsi="Times New Roman" w:cs="Times New Roman"/>
                <w:bCs/>
                <w:sz w:val="20"/>
                <w:szCs w:val="20"/>
              </w:rPr>
              <w:t>Анализ. Анализ версии и исправления, а также советы, предоставляются для операционной системы сервера, программного обеспечения виртуализации, программного обеспечения хранилища/сети хранения данных и сетевого программного обеспечения.</w:t>
            </w:r>
          </w:p>
          <w:p w:rsidR="001B441D" w:rsidRPr="001B441D" w:rsidRDefault="001B441D" w:rsidP="001B441D">
            <w:pPr>
              <w:spacing w:after="0" w:line="240" w:lineRule="auto"/>
              <w:jc w:val="both"/>
              <w:rPr>
                <w:rFonts w:ascii="Times New Roman" w:eastAsia="MS Mincho" w:hAnsi="Times New Roman" w:cs="Times New Roman"/>
                <w:b/>
                <w:bCs/>
                <w:sz w:val="20"/>
                <w:szCs w:val="20"/>
              </w:rPr>
            </w:pPr>
            <w:r w:rsidRPr="001B441D">
              <w:rPr>
                <w:rFonts w:ascii="Times New Roman" w:eastAsia="MS Mincho" w:hAnsi="Times New Roman" w:cs="Times New Roman"/>
                <w:bCs/>
                <w:sz w:val="20"/>
                <w:szCs w:val="20"/>
              </w:rPr>
              <w:t xml:space="preserve">Помощь в установке. Компания </w:t>
            </w:r>
            <w:r w:rsidRPr="001B441D">
              <w:rPr>
                <w:rFonts w:ascii="Times New Roman" w:eastAsia="MS Mincho" w:hAnsi="Times New Roman" w:cs="Times New Roman"/>
                <w:bCs/>
                <w:sz w:val="20"/>
                <w:szCs w:val="20"/>
                <w:lang w:val="en-US"/>
              </w:rPr>
              <w:t>HPE</w:t>
            </w:r>
            <w:r w:rsidRPr="001B441D">
              <w:rPr>
                <w:rFonts w:ascii="Times New Roman" w:eastAsia="MS Mincho" w:hAnsi="Times New Roman" w:cs="Times New Roman"/>
                <w:bCs/>
                <w:sz w:val="20"/>
                <w:szCs w:val="20"/>
              </w:rPr>
              <w:t xml:space="preserve"> предоставляет помощь по телефону во время установки исправлений программного обеспечения по запросу заказчика. Установка версий и исправлений программного обеспечения и/или более частое проведение анализа доступно посредством приобретения кредитов </w:t>
            </w:r>
            <w:r w:rsidRPr="001B441D">
              <w:rPr>
                <w:rFonts w:ascii="Times New Roman" w:eastAsia="MS Mincho" w:hAnsi="Times New Roman" w:cs="Times New Roman"/>
                <w:bCs/>
                <w:sz w:val="20"/>
                <w:szCs w:val="20"/>
                <w:lang w:val="en-US"/>
              </w:rPr>
              <w:t>Proactive</w:t>
            </w:r>
            <w:r w:rsidRPr="001B441D">
              <w:rPr>
                <w:rFonts w:ascii="Times New Roman" w:eastAsia="MS Mincho" w:hAnsi="Times New Roman" w:cs="Times New Roman"/>
                <w:bCs/>
                <w:sz w:val="20"/>
                <w:szCs w:val="20"/>
              </w:rPr>
              <w:t xml:space="preserve"> </w:t>
            </w:r>
            <w:r w:rsidRPr="001B441D">
              <w:rPr>
                <w:rFonts w:ascii="Times New Roman" w:eastAsia="MS Mincho" w:hAnsi="Times New Roman" w:cs="Times New Roman"/>
                <w:bCs/>
                <w:sz w:val="20"/>
                <w:szCs w:val="20"/>
                <w:lang w:val="en-US"/>
              </w:rPr>
              <w:t>Care</w:t>
            </w:r>
            <w:r w:rsidRPr="001B441D">
              <w:rPr>
                <w:rFonts w:ascii="Times New Roman" w:eastAsia="MS Mincho" w:hAnsi="Times New Roman" w:cs="Times New Roman"/>
                <w:bCs/>
                <w:sz w:val="20"/>
                <w:szCs w:val="20"/>
              </w:rPr>
              <w:t>, как описано в разделе дополнительных компонентов "Поддержка технических специалистов по запросу". Менеджер по технической поддержке проинформирует заказчика о количестве кредитов, необходимых для этой услуги.</w:t>
            </w:r>
          </w:p>
          <w:p w:rsidR="001B441D" w:rsidRPr="001B441D" w:rsidRDefault="001B441D" w:rsidP="001B441D">
            <w:pPr>
              <w:spacing w:after="0" w:line="240" w:lineRule="auto"/>
              <w:jc w:val="both"/>
              <w:rPr>
                <w:rFonts w:ascii="Times New Roman" w:eastAsia="MS Mincho" w:hAnsi="Times New Roman" w:cs="Times New Roman"/>
                <w:b/>
                <w:bCs/>
                <w:sz w:val="20"/>
                <w:szCs w:val="20"/>
              </w:rPr>
            </w:pPr>
          </w:p>
        </w:tc>
      </w:tr>
      <w:tr w:rsidR="001B441D" w:rsidRPr="001B441D" w:rsidTr="002E2C72">
        <w:tc>
          <w:tcPr>
            <w:tcW w:w="198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Проактивное</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сканирование</w:t>
            </w:r>
            <w:proofErr w:type="spellEnd"/>
          </w:p>
        </w:tc>
        <w:tc>
          <w:tcPr>
            <w:tcW w:w="7515" w:type="dxa"/>
            <w:shd w:val="clear" w:color="auto" w:fill="auto"/>
          </w:tcPr>
          <w:p w:rsidR="001B441D" w:rsidRPr="001B441D" w:rsidRDefault="001B441D" w:rsidP="001B441D">
            <w:pPr>
              <w:spacing w:after="0" w:line="240" w:lineRule="auto"/>
              <w:ind w:firstLine="36"/>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Два раза в год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выполняет </w:t>
            </w:r>
            <w:proofErr w:type="spellStart"/>
            <w:r w:rsidRPr="001B441D">
              <w:rPr>
                <w:rFonts w:ascii="Times New Roman" w:eastAsia="MS Mincho" w:hAnsi="Times New Roman" w:cs="Times New Roman"/>
                <w:sz w:val="20"/>
                <w:szCs w:val="20"/>
              </w:rPr>
              <w:t>проактивное</w:t>
            </w:r>
            <w:proofErr w:type="spellEnd"/>
            <w:r w:rsidRPr="001B441D">
              <w:rPr>
                <w:rFonts w:ascii="Times New Roman" w:eastAsia="MS Mincho" w:hAnsi="Times New Roman" w:cs="Times New Roman"/>
                <w:sz w:val="20"/>
                <w:szCs w:val="20"/>
              </w:rPr>
              <w:t xml:space="preserve"> сканирование обслуживаемых продуктов в поддерживаемой вычислительной среде. Для систем хранения и сетевых устройств, на которые распространяется услуга </w:t>
            </w:r>
            <w:r w:rsidRPr="001B441D">
              <w:rPr>
                <w:rFonts w:ascii="Times New Roman" w:eastAsia="MS Mincho" w:hAnsi="Times New Roman" w:cs="Times New Roman"/>
                <w:sz w:val="20"/>
                <w:szCs w:val="20"/>
                <w:lang w:val="en-US"/>
              </w:rPr>
              <w:t>Proactive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Care</w:t>
            </w:r>
            <w:r w:rsidRPr="001B441D">
              <w:rPr>
                <w:rFonts w:ascii="Times New Roman" w:eastAsia="MS Mincho" w:hAnsi="Times New Roman" w:cs="Times New Roman"/>
                <w:sz w:val="20"/>
                <w:szCs w:val="20"/>
              </w:rPr>
              <w:t xml:space="preserve">,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выполняет обзор информационных бюллетеней по поддержке, анализирует их на применимость к среде заказчика и дает определенные рекомендации, которые помогут снизить риск или оптимизировать операции.</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Для серверов, систем хранения и сетевых продуктов HPE компания HPE предоставляет отчет о </w:t>
            </w:r>
            <w:proofErr w:type="spellStart"/>
            <w:r w:rsidRPr="001B441D">
              <w:rPr>
                <w:rFonts w:ascii="Times New Roman" w:eastAsia="MS Mincho" w:hAnsi="Times New Roman" w:cs="Times New Roman"/>
                <w:sz w:val="20"/>
                <w:szCs w:val="20"/>
              </w:rPr>
              <w:t>проактивном</w:t>
            </w:r>
            <w:proofErr w:type="spellEnd"/>
            <w:r w:rsidRPr="001B441D">
              <w:rPr>
                <w:rFonts w:ascii="Times New Roman" w:eastAsia="MS Mincho" w:hAnsi="Times New Roman" w:cs="Times New Roman"/>
                <w:sz w:val="20"/>
                <w:szCs w:val="20"/>
              </w:rPr>
              <w:t xml:space="preserve"> сканировании посредством безопасного электронного адреса и портала. Менеджер по технической поддержке обсудит с заказчиком последствия и рекомендации. За выполнение рекомендаций отвечает заказчик. При запросе выполнения рекомендаций компанией HPE с заказчика будет взиматься дополнительная плата.</w:t>
            </w:r>
          </w:p>
        </w:tc>
      </w:tr>
      <w:tr w:rsidR="001B441D" w:rsidRPr="001B441D" w:rsidTr="002E2C72">
        <w:tc>
          <w:tcPr>
            <w:tcW w:w="1985" w:type="dxa"/>
            <w:tcBorders>
              <w:bottom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proofErr w:type="spellStart"/>
            <w:r w:rsidRPr="001B441D">
              <w:rPr>
                <w:rFonts w:ascii="Times New Roman" w:eastAsia="MS Mincho" w:hAnsi="Times New Roman" w:cs="Times New Roman"/>
                <w:b/>
                <w:bCs/>
                <w:sz w:val="20"/>
                <w:szCs w:val="20"/>
                <w:lang w:val="en-US"/>
              </w:rPr>
              <w:t>Отчеты</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об</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инцидентах</w:t>
            </w:r>
            <w:proofErr w:type="spellEnd"/>
          </w:p>
        </w:tc>
        <w:tc>
          <w:tcPr>
            <w:tcW w:w="7515" w:type="dxa"/>
            <w:tcBorders>
              <w:bottom w:val="single" w:sz="4" w:space="0" w:color="auto"/>
            </w:tcBorders>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Заказчик получает отчет с подробными сведениями об истории инцидентов заказчика и анализе тенденций инцидентов. Для некоторых технологий отчет может содержать дополнительную информацию. Отчет отправляется по электронной почте и доступен на портале раз в квартал. Если заказчику необходимо обсудить данные отчета, он может отправить запрос менеджеру по технической поддержке.</w:t>
            </w:r>
          </w:p>
        </w:tc>
      </w:tr>
      <w:tr w:rsidR="001B441D" w:rsidRPr="001B441D" w:rsidTr="002E2C72">
        <w:tc>
          <w:tcPr>
            <w:tcW w:w="1985" w:type="dxa"/>
            <w:tcBorders>
              <w:top w:val="single" w:sz="4" w:space="0" w:color="auto"/>
              <w:left w:val="single" w:sz="4" w:space="0" w:color="auto"/>
              <w:bottom w:val="single" w:sz="4" w:space="0" w:color="auto"/>
              <w:right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proofErr w:type="spellStart"/>
            <w:r w:rsidRPr="001B441D">
              <w:rPr>
                <w:rFonts w:ascii="Times New Roman" w:eastAsia="MS Mincho" w:hAnsi="Times New Roman" w:cs="Times New Roman"/>
                <w:b/>
                <w:bCs/>
                <w:sz w:val="20"/>
                <w:szCs w:val="20"/>
                <w:lang w:val="en-US"/>
              </w:rPr>
              <w:t>Дополнительные</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компоненты</w:t>
            </w:r>
            <w:proofErr w:type="spellEnd"/>
          </w:p>
        </w:tc>
        <w:tc>
          <w:tcPr>
            <w:tcW w:w="7515" w:type="dxa"/>
            <w:tcBorders>
              <w:top w:val="single" w:sz="4" w:space="0" w:color="auto"/>
              <w:left w:val="single" w:sz="4" w:space="0" w:color="auto"/>
              <w:bottom w:val="single" w:sz="4" w:space="0" w:color="auto"/>
              <w:right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sz w:val="20"/>
                <w:szCs w:val="20"/>
              </w:rPr>
            </w:pPr>
            <w:r w:rsidRPr="001B441D">
              <w:rPr>
                <w:rFonts w:ascii="Times New Roman" w:eastAsia="MS Mincho" w:hAnsi="Times New Roman" w:cs="Times New Roman"/>
                <w:sz w:val="20"/>
                <w:szCs w:val="20"/>
              </w:rPr>
              <w:t>Дополнительные компоненты доступны за отдельную плату.</w:t>
            </w:r>
          </w:p>
        </w:tc>
      </w:tr>
      <w:tr w:rsidR="001B441D" w:rsidRPr="001B441D" w:rsidTr="002E2C72">
        <w:tc>
          <w:tcPr>
            <w:tcW w:w="1985" w:type="dxa"/>
            <w:tcBorders>
              <w:top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p>
        </w:tc>
        <w:tc>
          <w:tcPr>
            <w:tcW w:w="7515" w:type="dxa"/>
            <w:tcBorders>
              <w:top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sz w:val="20"/>
                <w:szCs w:val="20"/>
              </w:rPr>
            </w:pPr>
          </w:p>
        </w:tc>
      </w:tr>
    </w:tbl>
    <w:p w:rsidR="001B441D" w:rsidRPr="001B441D" w:rsidRDefault="001B441D" w:rsidP="001B441D">
      <w:pPr>
        <w:spacing w:after="200" w:line="276" w:lineRule="auto"/>
        <w:rPr>
          <w:rFonts w:ascii="Times New Roman" w:eastAsia="Calibri" w:hAnsi="Times New Roman" w:cs="Times New Roman"/>
          <w:sz w:val="20"/>
          <w:szCs w:val="20"/>
        </w:rPr>
      </w:pPr>
    </w:p>
    <w:p w:rsidR="001B441D" w:rsidRPr="001B441D" w:rsidRDefault="001B441D" w:rsidP="001B441D">
      <w:pPr>
        <w:spacing w:after="200" w:line="276" w:lineRule="auto"/>
        <w:rPr>
          <w:rFonts w:ascii="Times New Roman" w:eastAsia="Calibri" w:hAnsi="Times New Roman" w:cs="Times New Roman"/>
          <w:sz w:val="20"/>
          <w:szCs w:val="20"/>
        </w:rPr>
      </w:pPr>
      <w:r w:rsidRPr="001B441D">
        <w:rPr>
          <w:rFonts w:ascii="Times New Roman" w:eastAsia="Calibri" w:hAnsi="Times New Roman" w:cs="Times New Roman"/>
          <w:sz w:val="20"/>
          <w:szCs w:val="20"/>
        </w:rPr>
        <w:t>Таблица 3. Реактивные компоненты</w:t>
      </w:r>
    </w:p>
    <w:tbl>
      <w:tblPr>
        <w:tblpPr w:leftFromText="180" w:rightFromText="180" w:vertAnchor="text" w:horzAnchor="page" w:tblpX="1826" w:tblpY="812"/>
        <w:tblW w:w="9606" w:type="dxa"/>
        <w:tblLook w:val="00A0" w:firstRow="1" w:lastRow="0" w:firstColumn="1" w:lastColumn="0" w:noHBand="0" w:noVBand="0"/>
      </w:tblPr>
      <w:tblGrid>
        <w:gridCol w:w="2095"/>
        <w:gridCol w:w="7511"/>
      </w:tblGrid>
      <w:tr w:rsidR="001B441D" w:rsidRPr="001B441D" w:rsidTr="00A27B26">
        <w:tc>
          <w:tcPr>
            <w:tcW w:w="2095" w:type="dxa"/>
            <w:tcBorders>
              <w:bottom w:val="single" w:sz="12" w:space="0" w:color="000000"/>
              <w:right w:val="single" w:sz="12" w:space="0" w:color="000000"/>
            </w:tcBorders>
            <w:shd w:val="clear" w:color="auto" w:fill="auto"/>
          </w:tcPr>
          <w:p w:rsidR="001B441D" w:rsidRPr="001B441D" w:rsidRDefault="001B441D" w:rsidP="001B441D">
            <w:pPr>
              <w:spacing w:before="60" w:after="60" w:line="240" w:lineRule="auto"/>
              <w:ind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Компонент услуги или услуга</w:t>
            </w:r>
          </w:p>
        </w:tc>
        <w:tc>
          <w:tcPr>
            <w:tcW w:w="7511" w:type="dxa"/>
            <w:tcBorders>
              <w:bottom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Особенности предоставления</w:t>
            </w:r>
          </w:p>
        </w:tc>
      </w:tr>
      <w:tr w:rsidR="001B441D" w:rsidRPr="001B441D" w:rsidTr="00A27B26">
        <w:tc>
          <w:tcPr>
            <w:tcW w:w="2095" w:type="dxa"/>
            <w:tcBorders>
              <w:top w:val="single" w:sz="12" w:space="0" w:color="000000"/>
              <w:bottom w:val="single" w:sz="4" w:space="0" w:color="auto"/>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Основные компоненты</w:t>
            </w:r>
          </w:p>
        </w:tc>
        <w:tc>
          <w:tcPr>
            <w:tcW w:w="7511" w:type="dxa"/>
            <w:tcBorders>
              <w:top w:val="single" w:sz="12" w:space="0" w:color="000000"/>
              <w:bottom w:val="single" w:sz="4" w:space="0" w:color="auto"/>
            </w:tcBorders>
            <w:shd w:val="clear" w:color="auto" w:fill="auto"/>
          </w:tcPr>
          <w:p w:rsidR="001B441D" w:rsidRPr="001B441D" w:rsidRDefault="001B441D" w:rsidP="001B441D">
            <w:pPr>
              <w:spacing w:after="200" w:line="276" w:lineRule="auto"/>
              <w:rPr>
                <w:rFonts w:ascii="Times New Roman" w:eastAsia="MS Mincho" w:hAnsi="Times New Roman" w:cs="Times New Roman"/>
                <w:sz w:val="20"/>
                <w:szCs w:val="20"/>
              </w:rPr>
            </w:pPr>
          </w:p>
        </w:tc>
      </w:tr>
      <w:tr w:rsidR="001B441D" w:rsidRPr="001B441D" w:rsidTr="00A27B26">
        <w:tc>
          <w:tcPr>
            <w:tcW w:w="2095" w:type="dxa"/>
            <w:tcBorders>
              <w:top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График предоставления услуги дистанционной поддержки (24</w:t>
            </w:r>
            <w:r w:rsidRPr="001B441D">
              <w:rPr>
                <w:rFonts w:ascii="Times New Roman" w:eastAsia="MS Mincho" w:hAnsi="Times New Roman" w:cs="Times New Roman"/>
                <w:b/>
                <w:bCs/>
                <w:sz w:val="20"/>
                <w:szCs w:val="20"/>
                <w:lang w:val="en-US"/>
              </w:rPr>
              <w:t>x</w:t>
            </w:r>
            <w:r w:rsidRPr="001B441D">
              <w:rPr>
                <w:rFonts w:ascii="Times New Roman" w:eastAsia="MS Mincho" w:hAnsi="Times New Roman" w:cs="Times New Roman"/>
                <w:b/>
                <w:bCs/>
                <w:sz w:val="20"/>
                <w:szCs w:val="20"/>
              </w:rPr>
              <w:t>7)</w:t>
            </w:r>
          </w:p>
        </w:tc>
        <w:tc>
          <w:tcPr>
            <w:tcW w:w="7511" w:type="dxa"/>
            <w:tcBorders>
              <w:top w:val="single" w:sz="4" w:space="0" w:color="auto"/>
            </w:tcBorders>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Дистанционная поддержка услуги </w:t>
            </w:r>
            <w:r w:rsidRPr="001B441D">
              <w:rPr>
                <w:rFonts w:ascii="Times New Roman" w:eastAsia="MS Mincho" w:hAnsi="Times New Roman" w:cs="Times New Roman"/>
                <w:sz w:val="20"/>
                <w:szCs w:val="20"/>
                <w:lang w:val="en-US"/>
              </w:rPr>
              <w:t>Proactive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Care</w:t>
            </w:r>
            <w:r w:rsidRPr="001B441D">
              <w:rPr>
                <w:rFonts w:ascii="Times New Roman" w:eastAsia="MS Mincho" w:hAnsi="Times New Roman" w:cs="Times New Roman"/>
                <w:sz w:val="20"/>
                <w:szCs w:val="20"/>
              </w:rPr>
              <w:t xml:space="preserve"> по умолчанию предоставляется 24 часа в сутки, с понедельника по воскресенье, включая праздничные дни.</w:t>
            </w:r>
          </w:p>
        </w:tc>
      </w:tr>
      <w:tr w:rsidR="001B441D" w:rsidRPr="001B441D" w:rsidTr="00A27B26">
        <w:tc>
          <w:tcPr>
            <w:tcW w:w="209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Реакция на критические проблемы с оборудованием и программным обеспечением (24</w:t>
            </w:r>
            <w:r w:rsidRPr="001B441D">
              <w:rPr>
                <w:rFonts w:ascii="Times New Roman" w:eastAsia="MS Mincho" w:hAnsi="Times New Roman" w:cs="Times New Roman"/>
                <w:b/>
                <w:bCs/>
                <w:sz w:val="20"/>
                <w:szCs w:val="20"/>
                <w:lang w:val="en-US"/>
              </w:rPr>
              <w:t>x</w:t>
            </w:r>
            <w:r w:rsidRPr="001B441D">
              <w:rPr>
                <w:rFonts w:ascii="Times New Roman" w:eastAsia="MS Mincho" w:hAnsi="Times New Roman" w:cs="Times New Roman"/>
                <w:b/>
                <w:bCs/>
                <w:sz w:val="20"/>
                <w:szCs w:val="20"/>
              </w:rPr>
              <w:t>7).</w:t>
            </w:r>
          </w:p>
        </w:tc>
        <w:tc>
          <w:tcPr>
            <w:tcW w:w="7511" w:type="dxa"/>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Заказчик может использовать выделенный номер телефона 24 часа в сутки, с понедельника по воскресенье. Если заказчик обращается при возникновении проблемы с критически важным оборудованием или программным обеспечением (уровень критичности 1 или 2), вызов будет перенаправлен специалисту по техническим решениям или заказчику перезвонят в течение 15 минут. В случае проблем с оборудованием, когда может потребоваться выезд к заказчику, в соответствии с уровнем оперативной поддержки оборудования, предусмотренным для поврежденного устройства, к заказчику направляется специалист по оборудованию. </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В дополнение к начальному процессу поиска и устранения неисправностей специалист по техническим решениям выполняет сбор данных о неисправности и определяет тип инцидента. Специалист по техническим решениям использует процедуры эскалации и привлекает дополнительных технических специалистов при необходимости. </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Время реакции для обслуживания с выездом к заказчику и ремонта в течение фиксированного времени для оборудования, а также время дистанционной поддержки программного обеспечения могут отличаться в зависимости от уровня серьезности инцидента. Уровень критичности инцидента определяет заказчик. </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Уровни критичности инцидентов описаны в разделе "Общие положения".</w:t>
            </w:r>
          </w:p>
        </w:tc>
      </w:tr>
      <w:tr w:rsidR="001B441D" w:rsidRPr="001B441D" w:rsidTr="00A27B26">
        <w:tc>
          <w:tcPr>
            <w:tcW w:w="209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Ускоренное управление эскалацией при возникновении события</w:t>
            </w:r>
          </w:p>
        </w:tc>
        <w:tc>
          <w:tcPr>
            <w:tcW w:w="7511" w:type="dxa"/>
            <w:shd w:val="clear" w:color="auto" w:fill="auto"/>
          </w:tcPr>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Для разрешения сложных инцидентов, определенных менеджером критических событий,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использует встроенные процедуры ускоренной эскалации при возникновении событий. Управление процедурами осуществляется менеджером критических событий, который координирует общее реагирование на инцидент.</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Если для разрешения ситуации требуются дополнительные ресурсы или навыки, менеджер критических событий координирует эскалацию инцидента и быстро привлекает ключевых специалистов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по разрешению инцидентов.</w:t>
            </w:r>
          </w:p>
          <w:p w:rsidR="001B441D" w:rsidRPr="001B441D" w:rsidRDefault="001B441D" w:rsidP="001B441D">
            <w:pPr>
              <w:spacing w:after="0" w:line="240" w:lineRule="auto"/>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Уровни критичности инцидентов описаны в разделе "Общие положения".</w:t>
            </w:r>
          </w:p>
        </w:tc>
      </w:tr>
      <w:tr w:rsidR="001B441D" w:rsidRPr="001B441D" w:rsidTr="00A27B26">
        <w:tc>
          <w:tcPr>
            <w:tcW w:w="209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Дистанционная поддержка и диагностика событий с оборудованием и программным обеспечением</w:t>
            </w:r>
          </w:p>
        </w:tc>
        <w:tc>
          <w:tcPr>
            <w:tcW w:w="7511"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После обращения заказчика и подтверждения*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запроса на обслуживание,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в рамках графика предоставления услуг по ремонту оборудования или программного обеспечения выявит неисправность оборудования или программного обеспечения, дистанционно устранит ее и решит проблему заказчика. Перед выездом к заказчику специалист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может выполнить дистанционную диагностику с помощью решения </w:t>
            </w:r>
            <w:r w:rsidRPr="001B441D">
              <w:rPr>
                <w:rFonts w:ascii="Times New Roman" w:eastAsia="MS Mincho" w:hAnsi="Times New Roman" w:cs="Times New Roman"/>
                <w:sz w:val="20"/>
                <w:szCs w:val="20"/>
                <w:lang w:val="en-US"/>
              </w:rPr>
              <w:t>Insight</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Remote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Support</w:t>
            </w:r>
            <w:r w:rsidRPr="001B441D">
              <w:rPr>
                <w:rFonts w:ascii="Times New Roman" w:eastAsia="MS Mincho" w:hAnsi="Times New Roman" w:cs="Times New Roman"/>
                <w:sz w:val="20"/>
                <w:szCs w:val="20"/>
              </w:rPr>
              <w:t xml:space="preserve"> для оценки состояния обслуживаемых продуктов либо использовать другие доступные методы, позволяющие упростить дистанционное решение проблемы.</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Информацию об инцидентах с обслуживаемым оборудованием или программным обеспечением можно сообщить в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по телефону или через веб-портал, доступный локально, или с помощью решения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Insight</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Remote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Support</w:t>
            </w:r>
            <w:r w:rsidRPr="001B441D">
              <w:rPr>
                <w:rFonts w:ascii="Times New Roman" w:eastAsia="MS Mincho" w:hAnsi="Times New Roman" w:cs="Times New Roman"/>
                <w:sz w:val="20"/>
                <w:szCs w:val="20"/>
              </w:rPr>
              <w:t xml:space="preserve"> как автоматизированное оборудование для отправки отчетов о событиях 24 часа в сутки, с понедельника по воскресенье.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подтвердит получение обращения за обслуживанием путем регистрации вызова, назначения идентификатора события и его передачи заказчику.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оставляет за собой право выбирать окончательный способ решения всех проблем, о которых сообщил заказчик.</w:t>
            </w:r>
          </w:p>
          <w:p w:rsidR="001B441D" w:rsidRPr="001B441D" w:rsidRDefault="001B441D" w:rsidP="001B441D">
            <w:pPr>
              <w:spacing w:before="60" w:after="60" w:line="240" w:lineRule="auto"/>
              <w:ind w:right="58"/>
              <w:jc w:val="both"/>
              <w:rPr>
                <w:rFonts w:ascii="Times New Roman" w:eastAsia="MS Mincho" w:hAnsi="Times New Roman" w:cs="Times New Roman"/>
                <w:sz w:val="20"/>
                <w:szCs w:val="20"/>
              </w:rPr>
            </w:pPr>
          </w:p>
        </w:tc>
      </w:tr>
      <w:tr w:rsidR="001B441D" w:rsidRPr="001B441D" w:rsidTr="00A27B26">
        <w:tc>
          <w:tcPr>
            <w:tcW w:w="209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Решения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xml:space="preserve"> для удаленной поддержки с помощью электронных средств связи</w:t>
            </w:r>
          </w:p>
        </w:tc>
        <w:tc>
          <w:tcPr>
            <w:tcW w:w="7511"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Решения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для удаленной поддержки с помощью электронных средств связи обеспечивают надежное устранение неполадок и предоставляют возможности восстановления, а также могут содержать решения для удаленного доступа к системе. Можно также воспользоваться удобной централизованной точкой администрирования и просмотром текущих событий и хронологии отчетов в масштабах предприятия. Специалист службы использует дистанционный доступ к системе только с письменного разрешения заказчика. С помощью удаленного доступа к системе специалист по поддержке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может более эффективно выполнить поиск неисправностей и быстрее устранить проблему.</w:t>
            </w:r>
          </w:p>
        </w:tc>
      </w:tr>
      <w:tr w:rsidR="001B441D" w:rsidRPr="001B441D" w:rsidTr="00A27B26">
        <w:tc>
          <w:tcPr>
            <w:tcW w:w="2095"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p>
        </w:tc>
        <w:tc>
          <w:tcPr>
            <w:tcW w:w="7511"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p>
        </w:tc>
      </w:tr>
    </w:tbl>
    <w:p w:rsidR="001B441D" w:rsidRPr="001B441D" w:rsidRDefault="001B441D" w:rsidP="001B441D">
      <w:pPr>
        <w:keepNext/>
        <w:spacing w:after="0" w:line="276" w:lineRule="auto"/>
        <w:outlineLvl w:val="2"/>
        <w:rPr>
          <w:rFonts w:ascii="Times New Roman" w:eastAsia="Times New Roman" w:hAnsi="Times New Roman" w:cs="Times New Roman"/>
          <w:b/>
          <w:bCs/>
          <w:sz w:val="20"/>
          <w:szCs w:val="20"/>
        </w:rPr>
      </w:pPr>
    </w:p>
    <w:tbl>
      <w:tblPr>
        <w:tblW w:w="9639" w:type="dxa"/>
        <w:tblInd w:w="250" w:type="dxa"/>
        <w:tblLook w:val="00A0" w:firstRow="1" w:lastRow="0" w:firstColumn="1" w:lastColumn="0" w:noHBand="0" w:noVBand="0"/>
      </w:tblPr>
      <w:tblGrid>
        <w:gridCol w:w="2093"/>
        <w:gridCol w:w="7546"/>
      </w:tblGrid>
      <w:tr w:rsidR="001B441D" w:rsidRPr="001B441D" w:rsidTr="00A27B26">
        <w:tc>
          <w:tcPr>
            <w:tcW w:w="2093"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Доступ к электронной информации о поддержке и услугах</w:t>
            </w:r>
          </w:p>
        </w:tc>
        <w:tc>
          <w:tcPr>
            <w:tcW w:w="7546"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В рамках этого компонента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xml:space="preserve"> предоставляет доступ к некоторым коммерческим электронным и веб-средствам. Заказчик получает следующие возможности:</w:t>
            </w:r>
          </w:p>
          <w:p w:rsidR="001B441D" w:rsidRPr="001B441D" w:rsidRDefault="001B441D" w:rsidP="001B441D">
            <w:pPr>
              <w:numPr>
                <w:ilvl w:val="0"/>
                <w:numId w:val="50"/>
              </w:numPr>
              <w:spacing w:after="0" w:line="240" w:lineRule="auto"/>
              <w:ind w:left="274" w:right="58" w:hanging="216"/>
              <w:jc w:val="both"/>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Определенные возможности, доступные для зарегистрированных пользователей, например, загрузка некоторых исправлений программного и микропрограммного обеспечения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подписка на уведомления об обслуживании оборудования, а также участие в форумах по технической поддержке для устранения неполадок и обмена опытом с другими зарегистрированными пользователями.</w:t>
            </w:r>
          </w:p>
          <w:p w:rsidR="001B441D" w:rsidRPr="001B441D" w:rsidRDefault="001B441D" w:rsidP="001B441D">
            <w:pPr>
              <w:numPr>
                <w:ilvl w:val="0"/>
                <w:numId w:val="50"/>
              </w:numPr>
              <w:spacing w:after="0" w:line="240" w:lineRule="auto"/>
              <w:ind w:left="274" w:right="58" w:hanging="216"/>
              <w:jc w:val="both"/>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Расширенный поиск документации по технической поддержке в Интернете для более быстрого решения проблемы.</w:t>
            </w:r>
          </w:p>
          <w:p w:rsidR="001B441D" w:rsidRPr="001B441D" w:rsidRDefault="001B441D" w:rsidP="001B441D">
            <w:pPr>
              <w:numPr>
                <w:ilvl w:val="0"/>
                <w:numId w:val="50"/>
              </w:numPr>
              <w:spacing w:after="0" w:line="240" w:lineRule="auto"/>
              <w:ind w:left="274" w:right="58" w:hanging="216"/>
              <w:jc w:val="both"/>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Некоторые служебные диагностические средства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xml:space="preserve"> с паролем для доступа.</w:t>
            </w:r>
          </w:p>
          <w:p w:rsidR="001B441D" w:rsidRPr="001B441D" w:rsidRDefault="001B441D" w:rsidP="001B441D">
            <w:pPr>
              <w:numPr>
                <w:ilvl w:val="0"/>
                <w:numId w:val="50"/>
              </w:numPr>
              <w:spacing w:after="0" w:line="240" w:lineRule="auto"/>
              <w:ind w:left="274" w:right="58" w:hanging="216"/>
              <w:jc w:val="both"/>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Веб-средство для отправки вопросов непосредственно в глобальный центр решений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Это средство помогает быстро решать проблемы с помощью процесса предварительной квалификации, который направляет запрос на поддержку или обслуживание квалифицированному инженеру. Средство также предоставляет информацию о состоянии каждого отправленного запроса на поддержку или обслуживание, которые должны быть рассмотрены, включая случаи, о которых было сообщено по телефону.</w:t>
            </w:r>
          </w:p>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Поиск в базе знаний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xml:space="preserve"> или стороннего производителя по определенным продуктам сторонних производителей для получения информации о продукте, поиска ответов на вопросы о поддержке, участия в форумах по поддержке. Предоставление этой услуги может быть ограничено соглашениями с третьими лицами.</w:t>
            </w:r>
          </w:p>
        </w:tc>
      </w:tr>
      <w:tr w:rsidR="001B441D" w:rsidRPr="001B441D" w:rsidTr="00A27B26">
        <w:tc>
          <w:tcPr>
            <w:tcW w:w="2093"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proofErr w:type="spellStart"/>
            <w:r w:rsidRPr="001B441D">
              <w:rPr>
                <w:rFonts w:ascii="Times New Roman" w:eastAsia="MS Mincho" w:hAnsi="Times New Roman" w:cs="Times New Roman"/>
                <w:b/>
                <w:bCs/>
                <w:sz w:val="20"/>
                <w:szCs w:val="20"/>
                <w:lang w:val="en-US"/>
              </w:rPr>
              <w:t>Запасные</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детали</w:t>
            </w:r>
            <w:proofErr w:type="spellEnd"/>
            <w:r w:rsidRPr="001B441D">
              <w:rPr>
                <w:rFonts w:ascii="Times New Roman" w:eastAsia="MS Mincho" w:hAnsi="Times New Roman" w:cs="Times New Roman"/>
                <w:b/>
                <w:bCs/>
                <w:sz w:val="20"/>
                <w:szCs w:val="20"/>
                <w:lang w:val="en-US"/>
              </w:rPr>
              <w:t xml:space="preserve"> и </w:t>
            </w:r>
            <w:proofErr w:type="spellStart"/>
            <w:r w:rsidRPr="001B441D">
              <w:rPr>
                <w:rFonts w:ascii="Times New Roman" w:eastAsia="MS Mincho" w:hAnsi="Times New Roman" w:cs="Times New Roman"/>
                <w:b/>
                <w:bCs/>
                <w:sz w:val="20"/>
                <w:szCs w:val="20"/>
                <w:lang w:val="en-US"/>
              </w:rPr>
              <w:t>материалы</w:t>
            </w:r>
            <w:proofErr w:type="spellEnd"/>
          </w:p>
        </w:tc>
        <w:tc>
          <w:tcPr>
            <w:tcW w:w="7546" w:type="dxa"/>
            <w:shd w:val="clear" w:color="auto" w:fill="auto"/>
          </w:tcPr>
          <w:p w:rsidR="001B441D" w:rsidRPr="00A27B26"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предоставит поддерживаемые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запасные детали и материалы, необходимые для сохранения обслуживаемого оборудования в рабочем состоянии, включая детали и материалы для доступных и рекомендованных инженерных усовершенствований. Предоставляемые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запасные части являются новыми или эквивалентными новым по своим эксплуатационным характеристикам. </w:t>
            </w:r>
            <w:r w:rsidRPr="00A27B26">
              <w:rPr>
                <w:rFonts w:ascii="Times New Roman" w:eastAsia="MS Mincho" w:hAnsi="Times New Roman" w:cs="Times New Roman"/>
                <w:sz w:val="20"/>
                <w:szCs w:val="20"/>
              </w:rPr>
              <w:t xml:space="preserve">Замененные части становятся собственностью </w:t>
            </w:r>
            <w:r w:rsidRPr="00A27B26">
              <w:rPr>
                <w:rFonts w:ascii="Times New Roman" w:eastAsia="MS Mincho" w:hAnsi="Times New Roman" w:cs="Times New Roman"/>
                <w:sz w:val="20"/>
                <w:szCs w:val="20"/>
                <w:lang w:val="en-US"/>
              </w:rPr>
              <w:t>HPE</w:t>
            </w:r>
            <w:r w:rsidRPr="00A27B26">
              <w:rPr>
                <w:rFonts w:ascii="Times New Roman" w:eastAsia="MS Mincho" w:hAnsi="Times New Roman" w:cs="Times New Roman"/>
                <w:sz w:val="20"/>
                <w:szCs w:val="20"/>
              </w:rPr>
              <w:t>.</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A27B26">
              <w:rPr>
                <w:rFonts w:ascii="Times New Roman" w:eastAsia="MS Mincho" w:hAnsi="Times New Roman" w:cs="Times New Roman"/>
                <w:sz w:val="20"/>
                <w:szCs w:val="20"/>
              </w:rPr>
              <w:t xml:space="preserve">Расходные материалы не поддерживаются и не будут предоставляться </w:t>
            </w:r>
            <w:r w:rsidRPr="001B441D">
              <w:rPr>
                <w:rFonts w:ascii="Times New Roman" w:eastAsia="MS Mincho" w:hAnsi="Times New Roman" w:cs="Times New Roman"/>
                <w:sz w:val="20"/>
                <w:szCs w:val="20"/>
              </w:rPr>
              <w:t>в рамках этой услуги. В отношении расходных материалов действуют стандартные сроки и условия гарантии.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Максимальный поддерживаемый срок службы/объем эксплуатации:</w:t>
            </w:r>
          </w:p>
          <w:p w:rsidR="001B441D" w:rsidRPr="001B441D" w:rsidRDefault="001B441D" w:rsidP="001B441D">
            <w:pPr>
              <w:spacing w:after="200" w:line="276" w:lineRule="auto"/>
              <w:rPr>
                <w:rFonts w:ascii="Times New Roman" w:eastAsia="MS Mincho" w:hAnsi="Times New Roman" w:cs="Times New Roman"/>
                <w:sz w:val="20"/>
                <w:szCs w:val="20"/>
              </w:rPr>
            </w:pPr>
            <w:r w:rsidRPr="001B441D">
              <w:rPr>
                <w:rFonts w:ascii="Times New Roman" w:eastAsia="MS Mincho" w:hAnsi="Times New Roman" w:cs="Times New Roman"/>
                <w:sz w:val="20"/>
              </w:rPr>
              <w:t>Детали и компоненты, для которых превышен максимальный срок службы и/или ограничение на объем эксплуатации, указанные производителем в пользовательской или технической документации, не будут предоставляться, ремонтироваться или заменяться в рамках этой услуги.</w:t>
            </w:r>
          </w:p>
        </w:tc>
      </w:tr>
      <w:tr w:rsidR="001B441D" w:rsidRPr="001B441D" w:rsidTr="00A27B26">
        <w:tc>
          <w:tcPr>
            <w:tcW w:w="2093"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Работа до полного устранения неисправности</w:t>
            </w:r>
          </w:p>
        </w:tc>
        <w:tc>
          <w:tcPr>
            <w:tcW w:w="7546"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После прибытия авторизованного представителя компании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к заказчику этот представитель продолжит предоставлять обслуживание с выездом к заказчику или дистанционно, по усмотрению компании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пока не будет восстановлена работоспособность продуктов. Если потребуются дополнительные запасные части или ресурсы, работа может быть временно приостановлена до их получения.</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Работа до полного устранения неисправности может не относиться к обслуживанию у заказчика, которое выполняется для настольных компьютеров, мобильных устройств и потребительской продукции.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Согласно запланированному обслуживанию с выездом к заказчику работа будет возобновлена на следующий день, в который предусмотрено обслуживание заказчика (зависит от географического положения).</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Восстановление считается выполненным после того, как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убедится, что неисправности оборудования устранены или выполнена замена оборудования.</w:t>
            </w:r>
          </w:p>
        </w:tc>
      </w:tr>
    </w:tbl>
    <w:p w:rsidR="001B441D" w:rsidRPr="001B441D" w:rsidRDefault="001B441D" w:rsidP="001B441D">
      <w:pPr>
        <w:keepNext/>
        <w:spacing w:after="0" w:line="276" w:lineRule="auto"/>
        <w:outlineLvl w:val="2"/>
        <w:rPr>
          <w:rFonts w:ascii="Times New Roman" w:eastAsia="Times New Roman" w:hAnsi="Times New Roman" w:cs="Times New Roman"/>
          <w:b/>
          <w:bCs/>
          <w:sz w:val="20"/>
          <w:szCs w:val="20"/>
        </w:rPr>
      </w:pPr>
    </w:p>
    <w:tbl>
      <w:tblPr>
        <w:tblW w:w="9639" w:type="dxa"/>
        <w:tblInd w:w="250" w:type="dxa"/>
        <w:tblLook w:val="00A0" w:firstRow="1" w:lastRow="0" w:firstColumn="1" w:lastColumn="0" w:noHBand="0" w:noVBand="0"/>
      </w:tblPr>
      <w:tblGrid>
        <w:gridCol w:w="2096"/>
        <w:gridCol w:w="7543"/>
      </w:tblGrid>
      <w:tr w:rsidR="001B441D" w:rsidRPr="001B441D" w:rsidTr="00A27B26">
        <w:tc>
          <w:tcPr>
            <w:tcW w:w="2096" w:type="dxa"/>
            <w:tcBorders>
              <w:bottom w:val="single" w:sz="4" w:space="0" w:color="auto"/>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Компонент</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услуги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или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услуга</w:t>
            </w:r>
            <w:proofErr w:type="spellEnd"/>
          </w:p>
        </w:tc>
        <w:tc>
          <w:tcPr>
            <w:tcW w:w="7543" w:type="dxa"/>
            <w:tcBorders>
              <w:bottom w:val="single" w:sz="4" w:space="0" w:color="auto"/>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Особенности</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предоставления</w:t>
            </w:r>
            <w:proofErr w:type="spellEnd"/>
          </w:p>
        </w:tc>
      </w:tr>
      <w:tr w:rsidR="001B441D" w:rsidRPr="001B441D" w:rsidTr="00A27B26">
        <w:tc>
          <w:tcPr>
            <w:tcW w:w="2096"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Предоставление услуг в течение 4 часов в режиме 24</w:t>
            </w:r>
            <w:r w:rsidRPr="001B441D">
              <w:rPr>
                <w:rFonts w:ascii="Times New Roman" w:eastAsia="MS Mincho" w:hAnsi="Times New Roman" w:cs="Times New Roman"/>
                <w:b/>
                <w:bCs/>
                <w:sz w:val="20"/>
                <w:szCs w:val="20"/>
                <w:lang w:val="en-US"/>
              </w:rPr>
              <w:t>x</w:t>
            </w:r>
            <w:r w:rsidRPr="001B441D">
              <w:rPr>
                <w:rFonts w:ascii="Times New Roman" w:eastAsia="MS Mincho" w:hAnsi="Times New Roman" w:cs="Times New Roman"/>
                <w:b/>
                <w:bCs/>
                <w:sz w:val="20"/>
                <w:szCs w:val="20"/>
              </w:rPr>
              <w:t>7</w:t>
            </w:r>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График предоставления поддержки оборудования: - 24</w:t>
            </w:r>
            <w:r w:rsidRPr="001B441D">
              <w:rPr>
                <w:rFonts w:ascii="Times New Roman" w:eastAsia="MS Mincho" w:hAnsi="Times New Roman" w:cs="Times New Roman"/>
                <w:sz w:val="20"/>
                <w:szCs w:val="20"/>
                <w:lang w:val="en-US"/>
              </w:rPr>
              <w:t>x</w:t>
            </w:r>
            <w:r w:rsidRPr="001B441D">
              <w:rPr>
                <w:rFonts w:ascii="Times New Roman" w:eastAsia="MS Mincho" w:hAnsi="Times New Roman" w:cs="Times New Roman"/>
                <w:sz w:val="20"/>
                <w:szCs w:val="20"/>
              </w:rPr>
              <w:t>7. Услуга предоставляется 24 часа в сутки, с понедельника по воскресенье, включая выходные и праздничные дни.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Время реакции при обслуживании оборудования с выездом к заказчику:</w:t>
            </w:r>
          </w:p>
          <w:p w:rsidR="001B441D" w:rsidRPr="001B441D" w:rsidRDefault="001B441D" w:rsidP="001B441D">
            <w:pPr>
              <w:numPr>
                <w:ilvl w:val="0"/>
                <w:numId w:val="50"/>
              </w:numPr>
              <w:spacing w:after="0" w:line="240" w:lineRule="auto"/>
              <w:ind w:left="274" w:right="58" w:hanging="216"/>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Обслуживание с выездом к заказчику в течение 4 часов. Авторизованный специалист HPE начнет работу над проблемой в пределах установленного графика предоставления услуг в течение 4-х часов после получения и подтверждения обращения компанией HPE. Компоненты услуги перечислены ниже в разделе "Обслуживание оборудования на месте и время реакции".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Техническая поддержка программного обеспечения в режиме графика предоставления услуг 24</w:t>
            </w:r>
            <w:r w:rsidRPr="001B441D">
              <w:rPr>
                <w:rFonts w:ascii="Times New Roman" w:eastAsia="MS Mincho" w:hAnsi="Times New Roman" w:cs="Times New Roman"/>
                <w:sz w:val="20"/>
                <w:szCs w:val="20"/>
                <w:lang w:val="en-US"/>
              </w:rPr>
              <w:t>x</w:t>
            </w:r>
            <w:r w:rsidRPr="001B441D">
              <w:rPr>
                <w:rFonts w:ascii="Times New Roman" w:eastAsia="MS Mincho" w:hAnsi="Times New Roman" w:cs="Times New Roman"/>
                <w:sz w:val="20"/>
                <w:szCs w:val="20"/>
              </w:rPr>
              <w:t xml:space="preserve">7. Услуга предоставляется 24 часа в сутки, с понедельника по воскресенье, включая выходные и праздничные дни. </w:t>
            </w:r>
          </w:p>
        </w:tc>
      </w:tr>
      <w:tr w:rsidR="001B441D" w:rsidRPr="001B441D" w:rsidTr="00A27B26">
        <w:tblPrEx>
          <w:tblLook w:val="04A0" w:firstRow="1" w:lastRow="0" w:firstColumn="1" w:lastColumn="0" w:noHBand="0" w:noVBand="1"/>
        </w:tblPrEx>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lang w:val="en-US"/>
              </w:rPr>
            </w:pPr>
            <w:proofErr w:type="spellStart"/>
            <w:r w:rsidRPr="001B441D">
              <w:rPr>
                <w:rFonts w:ascii="Times New Roman" w:eastAsia="MS Mincho" w:hAnsi="Times New Roman" w:cs="Times New Roman"/>
                <w:b/>
                <w:bCs/>
                <w:sz w:val="20"/>
                <w:szCs w:val="20"/>
                <w:lang w:val="en-US"/>
              </w:rPr>
              <w:t>Поддержка</w:t>
            </w:r>
            <w:proofErr w:type="spellEnd"/>
            <w:r w:rsidRPr="001B441D">
              <w:rPr>
                <w:rFonts w:ascii="Times New Roman" w:eastAsia="MS Mincho" w:hAnsi="Times New Roman" w:cs="Times New Roman"/>
                <w:b/>
                <w:bCs/>
                <w:sz w:val="20"/>
                <w:szCs w:val="20"/>
                <w:lang w:val="en-US"/>
              </w:rPr>
              <w:t xml:space="preserve"> </w:t>
            </w:r>
            <w:proofErr w:type="spellStart"/>
            <w:r w:rsidRPr="001B441D">
              <w:rPr>
                <w:rFonts w:ascii="Times New Roman" w:eastAsia="MS Mincho" w:hAnsi="Times New Roman" w:cs="Times New Roman"/>
                <w:b/>
                <w:bCs/>
                <w:sz w:val="20"/>
                <w:szCs w:val="20"/>
                <w:lang w:val="en-US"/>
              </w:rPr>
              <w:t>оборудования</w:t>
            </w:r>
            <w:proofErr w:type="spellEnd"/>
            <w:r w:rsidRPr="001B441D">
              <w:rPr>
                <w:rFonts w:ascii="Times New Roman" w:eastAsia="MS Mincho" w:hAnsi="Times New Roman" w:cs="Times New Roman"/>
                <w:b/>
                <w:bCs/>
                <w:sz w:val="20"/>
                <w:szCs w:val="20"/>
                <w:lang w:val="en-US"/>
              </w:rPr>
              <w:t xml:space="preserve"> у </w:t>
            </w:r>
            <w:proofErr w:type="spellStart"/>
            <w:r w:rsidRPr="001B441D">
              <w:rPr>
                <w:rFonts w:ascii="Times New Roman" w:eastAsia="MS Mincho" w:hAnsi="Times New Roman" w:cs="Times New Roman"/>
                <w:b/>
                <w:bCs/>
                <w:sz w:val="20"/>
                <w:szCs w:val="20"/>
                <w:lang w:val="en-US"/>
              </w:rPr>
              <w:t>заказчика</w:t>
            </w:r>
            <w:proofErr w:type="spellEnd"/>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Если, по мнению компании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техническая проблема с оборудованием не может быть решена дистанционно, авторизованный представитель выполнит необходимое обслуживание оборудования по месту эксплуатации для восстановления его рабочего состояния. Для некоторых серверов </w:t>
            </w:r>
            <w:r w:rsidRPr="001B441D">
              <w:rPr>
                <w:rFonts w:ascii="Times New Roman" w:eastAsia="MS Mincho" w:hAnsi="Times New Roman" w:cs="Times New Roman"/>
                <w:sz w:val="20"/>
                <w:szCs w:val="20"/>
                <w:lang w:val="en-US"/>
              </w:rPr>
              <w:t>ProLiant</w:t>
            </w:r>
            <w:r w:rsidRPr="001B441D">
              <w:rPr>
                <w:rFonts w:ascii="Times New Roman" w:eastAsia="MS Mincho" w:hAnsi="Times New Roman" w:cs="Times New Roman"/>
                <w:sz w:val="20"/>
                <w:szCs w:val="20"/>
              </w:rPr>
              <w:t xml:space="preserve">, серверов на базе процессора </w:t>
            </w:r>
            <w:r w:rsidRPr="001B441D">
              <w:rPr>
                <w:rFonts w:ascii="Times New Roman" w:eastAsia="MS Mincho" w:hAnsi="Times New Roman" w:cs="Times New Roman"/>
                <w:sz w:val="20"/>
                <w:szCs w:val="20"/>
                <w:lang w:val="en-US"/>
              </w:rPr>
              <w:t>Intel</w:t>
            </w:r>
            <w:r w:rsidRPr="001B441D">
              <w:rPr>
                <w:rFonts w:ascii="Times New Roman" w:eastAsia="MS Mincho" w:hAnsi="Times New Roman" w:cs="Times New Roman"/>
                <w:sz w:val="20"/>
                <w:szCs w:val="20"/>
                <w:vertAlign w:val="superscript"/>
              </w:rPr>
              <w:t>®</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Pentium</w:t>
            </w:r>
            <w:r w:rsidRPr="001B441D">
              <w:rPr>
                <w:rFonts w:ascii="Times New Roman" w:eastAsia="MS Mincho" w:hAnsi="Times New Roman" w:cs="Times New Roman"/>
                <w:sz w:val="20"/>
                <w:szCs w:val="20"/>
                <w:vertAlign w:val="superscript"/>
              </w:rPr>
              <w:t>®</w:t>
            </w:r>
            <w:r w:rsidRPr="001B441D">
              <w:rPr>
                <w:rFonts w:ascii="Times New Roman" w:eastAsia="MS Mincho" w:hAnsi="Times New Roman" w:cs="Times New Roman"/>
                <w:sz w:val="20"/>
                <w:szCs w:val="20"/>
              </w:rPr>
              <w:t xml:space="preserve"> и </w:t>
            </w:r>
            <w:r w:rsidRPr="001B441D">
              <w:rPr>
                <w:rFonts w:ascii="Times New Roman" w:eastAsia="MS Mincho" w:hAnsi="Times New Roman" w:cs="Times New Roman"/>
                <w:sz w:val="20"/>
                <w:szCs w:val="20"/>
                <w:lang w:val="en-US"/>
              </w:rPr>
              <w:t>Xeon</w:t>
            </w:r>
            <w:r w:rsidRPr="001B441D">
              <w:rPr>
                <w:rFonts w:ascii="Times New Roman" w:eastAsia="MS Mincho" w:hAnsi="Times New Roman" w:cs="Times New Roman"/>
                <w:sz w:val="20"/>
                <w:szCs w:val="20"/>
                <w:vertAlign w:val="superscript"/>
              </w:rPr>
              <w:t>®</w:t>
            </w:r>
            <w:r w:rsidRPr="001B441D">
              <w:rPr>
                <w:rFonts w:ascii="Times New Roman" w:eastAsia="MS Mincho" w:hAnsi="Times New Roman" w:cs="Times New Roman"/>
                <w:sz w:val="20"/>
                <w:szCs w:val="20"/>
              </w:rPr>
              <w:t xml:space="preserve">, а также сетевых устройств и устройств для хранения данных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может, по собственному усмотрению, вместо ремонта выбрать их замену. Предоставляемые продукты являются новыми или эквивалентными новым по своим эксплуатационным характеристикам. Замененные изделия становятся собственностью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Независимо от возможных противоречий в данном документе или в текущих стандартных условиях продажи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выполнит обслуживание и замену неисправных или разряженных аккумуляторов, которые играют важную роль при надлежащей работе гарантийного оборудования, для выбранных корпоративных массивов хранения данных и корпоративных ленточных устройств.</w:t>
            </w:r>
          </w:p>
        </w:tc>
      </w:tr>
      <w:tr w:rsidR="001B441D" w:rsidRPr="001B441D" w:rsidTr="00A27B26">
        <w:tblPrEx>
          <w:tblLook w:val="04A0" w:firstRow="1" w:lastRow="0" w:firstColumn="1" w:lastColumn="0" w:noHBand="0" w:noVBand="1"/>
        </w:tblPrEx>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Возможности оперативной поддержки программного обеспечения.</w:t>
            </w:r>
          </w:p>
        </w:tc>
        <w:tc>
          <w:tcPr>
            <w:tcW w:w="7543" w:type="dxa"/>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предоставляет следующие компоненты реактивной поддержки программного обеспечения, если заказчик приобретает лицензию на программное обеспечение или связанную поддержку услуги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Proactive</w:t>
            </w:r>
            <w:r w:rsidRPr="001B441D">
              <w:rPr>
                <w:rFonts w:ascii="Times New Roman" w:eastAsia="MS Mincho" w:hAnsi="Times New Roman" w:cs="Times New Roman"/>
                <w:sz w:val="20"/>
                <w:szCs w:val="20"/>
              </w:rPr>
              <w:t xml:space="preserve"> </w:t>
            </w:r>
            <w:r w:rsidRPr="001B441D">
              <w:rPr>
                <w:rFonts w:ascii="Times New Roman" w:eastAsia="MS Mincho" w:hAnsi="Times New Roman" w:cs="Times New Roman"/>
                <w:sz w:val="20"/>
                <w:szCs w:val="20"/>
                <w:lang w:val="en-US"/>
              </w:rPr>
              <w:t>Care</w:t>
            </w:r>
            <w:r w:rsidRPr="001B441D">
              <w:rPr>
                <w:rFonts w:ascii="Times New Roman" w:eastAsia="MS Mincho" w:hAnsi="Times New Roman" w:cs="Times New Roman"/>
                <w:sz w:val="20"/>
                <w:szCs w:val="20"/>
              </w:rPr>
              <w:t xml:space="preserve"> от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w:t>
            </w:r>
          </w:p>
        </w:tc>
      </w:tr>
      <w:tr w:rsidR="001B441D" w:rsidRPr="001B441D" w:rsidTr="00A27B26">
        <w:tblPrEx>
          <w:tblLook w:val="04A0" w:firstRow="1" w:lastRow="0" w:firstColumn="1" w:lastColumn="0" w:noHBand="0" w:noVBand="1"/>
        </w:tblPrEx>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Реакция на некритические события с программным обеспечением</w:t>
            </w:r>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При получении запроса на обслуживание некритического программного обеспечения (уровень критичности 3 или 4)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ответит в течение 2 часов после регистрации запроса на обслуживание.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предоставляет поддержку для решения распознаваемых событий с программным обеспечением, которые заказчик может воспроизвести.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также поможет идентифицировать события, которые трудно поддаются воспроизведению. Заказчику будет предоставлена помощь в решении событий и выборе правильных параметров конфигурации.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Относительно ответа на запрос на обслуживание критического программного обеспечения (уровень критичности 1 или 2) см. раздел "Центр приоритетной поддержки”, описанный ранее в этом документе.</w:t>
            </w:r>
          </w:p>
        </w:tc>
      </w:tr>
      <w:tr w:rsidR="001B441D" w:rsidRPr="001B441D" w:rsidTr="00A27B26">
        <w:tblPrEx>
          <w:tblLook w:val="04A0" w:firstRow="1" w:lastRow="0" w:firstColumn="1" w:lastColumn="0" w:noHBand="0" w:noVBand="1"/>
        </w:tblPrEx>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Обновления программных продуктов и документации</w:t>
            </w:r>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Последние версии программных продуктов и справочной документации становятся доступны заказчику сразу после выпуска обновлений программного обеспечения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Для некоторых программных продуктов других производителей компания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будет предоставлять соответствующие обновления, как только такие обновления будут предоставлены производителем, либо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может предоставить инструкции о том, как получить обновления продуктов непосредственно от производителя. </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Для большинства программного обеспечения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и некоторого программного обеспечения сторонних производителей с поддержкой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обновления будут доступны на портале обновления программного обеспечения и лицензирования посредством центра поддержки. Портал обновления программного обеспечения и лицензирования предоставляет заказчику электронный доступ для получения и </w:t>
            </w:r>
            <w:proofErr w:type="spellStart"/>
            <w:r w:rsidRPr="001B441D">
              <w:rPr>
                <w:rFonts w:ascii="Times New Roman" w:eastAsia="MS Mincho" w:hAnsi="Times New Roman" w:cs="Times New Roman"/>
                <w:sz w:val="20"/>
                <w:szCs w:val="20"/>
              </w:rPr>
              <w:t>проактивного</w:t>
            </w:r>
            <w:proofErr w:type="spellEnd"/>
            <w:r w:rsidRPr="001B441D">
              <w:rPr>
                <w:rFonts w:ascii="Times New Roman" w:eastAsia="MS Mincho" w:hAnsi="Times New Roman" w:cs="Times New Roman"/>
                <w:sz w:val="20"/>
                <w:szCs w:val="20"/>
              </w:rPr>
              <w:t xml:space="preserve"> управления обновлениями программных продуктов и документации.</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p>
        </w:tc>
      </w:tr>
      <w:tr w:rsidR="001B441D" w:rsidRPr="001B441D" w:rsidTr="00A27B26">
        <w:tblPrEx>
          <w:tblLook w:val="04A0" w:firstRow="1" w:lastRow="0" w:firstColumn="1" w:lastColumn="0" w:noHBand="0" w:noVBand="1"/>
        </w:tblPrEx>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Лицензия на использование обновлений программного обеспечения</w:t>
            </w:r>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Заказчик получает право на использование обновлений программного обеспечения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или поддерживаемого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программного обеспечения других поставщиков для каждой системы, сокета, процессора, процессорного ядра или пользовательской лицензии на программное обеспечение, предусмотренных в рамках этого обслуживания в соответствии с условиями оригинальной лицензии компании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или разработчика программного обеспечения.</w:t>
            </w:r>
          </w:p>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Условия лицензии будут идентичны условиям лицензии на программное обеспечение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совпадающим с предварительной базовой лицензией на программное обеспечение заказчика, или соответствовать условиям текущей лицензии стороннего производителя программного обеспечения, если применимо, включая любые дополнительные условия лицензирования, которые могут сопутствовать обновлениям такого программного обеспечения, предоставляемым согласно данной услуге.</w:t>
            </w:r>
          </w:p>
        </w:tc>
      </w:tr>
      <w:tr w:rsidR="001B441D" w:rsidRPr="001B441D" w:rsidTr="00A27B26">
        <w:tblPrEx>
          <w:tblLook w:val="04A0" w:firstRow="1" w:lastRow="0" w:firstColumn="1" w:lastColumn="0" w:noHBand="0" w:noVBand="1"/>
        </w:tblPrEx>
        <w:trPr>
          <w:trHeight w:val="1413"/>
        </w:trPr>
        <w:tc>
          <w:tcPr>
            <w:tcW w:w="2096" w:type="dxa"/>
            <w:tcBorders>
              <w:right w:val="single" w:sz="12" w:space="0" w:color="000000"/>
            </w:tcBorders>
            <w:shd w:val="clear" w:color="auto" w:fill="auto"/>
          </w:tcPr>
          <w:p w:rsidR="001B441D" w:rsidRPr="001B441D" w:rsidRDefault="001B441D" w:rsidP="001B441D">
            <w:pPr>
              <w:spacing w:before="60" w:after="60" w:line="240" w:lineRule="auto"/>
              <w:ind w:left="58" w:right="58"/>
              <w:rPr>
                <w:rFonts w:ascii="Times New Roman" w:eastAsia="MS Mincho" w:hAnsi="Times New Roman" w:cs="Times New Roman"/>
                <w:b/>
                <w:bCs/>
                <w:sz w:val="20"/>
                <w:szCs w:val="20"/>
              </w:rPr>
            </w:pPr>
            <w:r w:rsidRPr="001B441D">
              <w:rPr>
                <w:rFonts w:ascii="Times New Roman" w:eastAsia="MS Mincho" w:hAnsi="Times New Roman" w:cs="Times New Roman"/>
                <w:b/>
                <w:bCs/>
                <w:sz w:val="20"/>
                <w:szCs w:val="20"/>
              </w:rPr>
              <w:t xml:space="preserve">Рекомендованные компанией </w:t>
            </w:r>
            <w:r w:rsidRPr="001B441D">
              <w:rPr>
                <w:rFonts w:ascii="Times New Roman" w:eastAsia="MS Mincho" w:hAnsi="Times New Roman" w:cs="Times New Roman"/>
                <w:b/>
                <w:bCs/>
                <w:sz w:val="20"/>
                <w:szCs w:val="20"/>
                <w:lang w:val="en-US"/>
              </w:rPr>
              <w:t>HPE</w:t>
            </w:r>
            <w:r w:rsidRPr="001B441D">
              <w:rPr>
                <w:rFonts w:ascii="Times New Roman" w:eastAsia="MS Mincho" w:hAnsi="Times New Roman" w:cs="Times New Roman"/>
                <w:b/>
                <w:bCs/>
                <w:sz w:val="20"/>
                <w:szCs w:val="20"/>
              </w:rPr>
              <w:t xml:space="preserve"> способы обновления программного обеспечения и документации</w:t>
            </w:r>
          </w:p>
        </w:tc>
        <w:tc>
          <w:tcPr>
            <w:tcW w:w="7543" w:type="dxa"/>
            <w:shd w:val="clear" w:color="auto" w:fill="auto"/>
          </w:tcPr>
          <w:p w:rsidR="001B441D" w:rsidRPr="001B441D" w:rsidRDefault="001B441D" w:rsidP="001B441D">
            <w:pPr>
              <w:spacing w:before="60" w:after="60" w:line="240" w:lineRule="auto"/>
              <w:ind w:left="58" w:right="58"/>
              <w:jc w:val="both"/>
              <w:rPr>
                <w:rFonts w:ascii="Times New Roman" w:eastAsia="MS Mincho" w:hAnsi="Times New Roman" w:cs="Times New Roman"/>
                <w:sz w:val="20"/>
                <w:szCs w:val="20"/>
              </w:rPr>
            </w:pPr>
            <w:r w:rsidRPr="001B441D">
              <w:rPr>
                <w:rFonts w:ascii="Times New Roman" w:eastAsia="MS Mincho" w:hAnsi="Times New Roman" w:cs="Times New Roman"/>
                <w:sz w:val="20"/>
                <w:szCs w:val="20"/>
              </w:rPr>
              <w:t xml:space="preserve">Для обновлений программного обеспечения и документации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xml:space="preserve"> или сторонних производителей рекомендуемый способ доставки будет выбран компанией </w:t>
            </w:r>
            <w:r w:rsidRPr="001B441D">
              <w:rPr>
                <w:rFonts w:ascii="Times New Roman" w:eastAsia="MS Mincho" w:hAnsi="Times New Roman" w:cs="Times New Roman"/>
                <w:sz w:val="20"/>
                <w:szCs w:val="20"/>
                <w:lang w:val="en-US"/>
              </w:rPr>
              <w:t>HPE</w:t>
            </w:r>
            <w:r w:rsidRPr="001B441D">
              <w:rPr>
                <w:rFonts w:ascii="Times New Roman" w:eastAsia="MS Mincho" w:hAnsi="Times New Roman" w:cs="Times New Roman"/>
                <w:sz w:val="20"/>
                <w:szCs w:val="20"/>
              </w:rPr>
              <w:t>. Первичный метод доставки обновлений программного обеспечения и документации осуществляется посредством загрузки с портала обновления программного обеспечения и лицензирования или с размещенного веб-сайта стороннего производителя.</w:t>
            </w:r>
          </w:p>
        </w:tc>
      </w:tr>
    </w:tbl>
    <w:p w:rsidR="001B441D" w:rsidRPr="001B441D" w:rsidRDefault="001B441D" w:rsidP="001B441D">
      <w:pPr>
        <w:spacing w:after="0" w:line="276" w:lineRule="auto"/>
        <w:jc w:val="both"/>
        <w:rPr>
          <w:rFonts w:ascii="Times New Roman" w:eastAsia="Calibri" w:hAnsi="Times New Roman" w:cs="Times New Roman"/>
          <w:sz w:val="24"/>
          <w:szCs w:val="24"/>
        </w:rPr>
      </w:pPr>
    </w:p>
    <w:p w:rsidR="001B441D" w:rsidRPr="001B441D" w:rsidRDefault="001B441D" w:rsidP="001B441D">
      <w:pPr>
        <w:spacing w:after="0" w:line="276" w:lineRule="auto"/>
        <w:jc w:val="both"/>
        <w:rPr>
          <w:rFonts w:ascii="Times New Roman" w:eastAsia="Calibri" w:hAnsi="Times New Roman" w:cs="Times New Roman"/>
          <w:sz w:val="24"/>
          <w:szCs w:val="24"/>
        </w:rPr>
      </w:pPr>
    </w:p>
    <w:p w:rsidR="001B441D" w:rsidRPr="001B441D" w:rsidRDefault="001B441D" w:rsidP="001B441D">
      <w:pPr>
        <w:spacing w:after="0" w:line="276" w:lineRule="auto"/>
        <w:jc w:val="both"/>
        <w:rPr>
          <w:rFonts w:ascii="Times New Roman" w:eastAsia="Calibri" w:hAnsi="Times New Roman" w:cs="Times New Roman"/>
          <w:sz w:val="24"/>
          <w:szCs w:val="24"/>
        </w:rPr>
      </w:pPr>
    </w:p>
    <w:p w:rsidR="00444804" w:rsidRDefault="00444804" w:rsidP="001B441D">
      <w:pPr>
        <w:spacing w:after="0" w:line="276" w:lineRule="auto"/>
        <w:jc w:val="both"/>
        <w:rPr>
          <w:rFonts w:ascii="Times New Roman" w:eastAsia="Calibri" w:hAnsi="Times New Roman" w:cs="Times New Roman"/>
          <w:sz w:val="24"/>
          <w:szCs w:val="24"/>
        </w:rPr>
        <w:sectPr w:rsidR="00444804" w:rsidSect="001B441D">
          <w:pgSz w:w="11907" w:h="16839" w:code="9"/>
          <w:pgMar w:top="851" w:right="567" w:bottom="567" w:left="1134" w:header="720" w:footer="720" w:gutter="0"/>
          <w:cols w:space="708"/>
          <w:noEndnote/>
          <w:titlePg/>
          <w:docGrid w:linePitch="326"/>
        </w:sectPr>
      </w:pPr>
    </w:p>
    <w:tbl>
      <w:tblPr>
        <w:tblStyle w:val="ac"/>
        <w:tblW w:w="15306" w:type="dxa"/>
        <w:tblLayout w:type="fixed"/>
        <w:tblLook w:val="04A0" w:firstRow="1" w:lastRow="0" w:firstColumn="1" w:lastColumn="0" w:noHBand="0" w:noVBand="1"/>
      </w:tblPr>
      <w:tblGrid>
        <w:gridCol w:w="562"/>
        <w:gridCol w:w="3828"/>
        <w:gridCol w:w="1984"/>
        <w:gridCol w:w="1985"/>
        <w:gridCol w:w="708"/>
        <w:gridCol w:w="2127"/>
        <w:gridCol w:w="2127"/>
        <w:gridCol w:w="1985"/>
      </w:tblGrid>
      <w:tr w:rsidR="00697EA8" w:rsidRPr="001B441D" w:rsidTr="00444804">
        <w:trPr>
          <w:trHeight w:val="425"/>
        </w:trPr>
        <w:tc>
          <w:tcPr>
            <w:tcW w:w="15306" w:type="dxa"/>
            <w:gridSpan w:val="8"/>
            <w:noWrap/>
            <w:hideMark/>
          </w:tcPr>
          <w:p w:rsidR="00697EA8" w:rsidRPr="001B441D" w:rsidRDefault="001B441D" w:rsidP="00B355AA">
            <w:pPr>
              <w:jc w:val="center"/>
              <w:rPr>
                <w:rFonts w:eastAsia="Times New Roman" w:cs="Times New Roman"/>
                <w:sz w:val="24"/>
                <w:szCs w:val="24"/>
              </w:rPr>
            </w:pPr>
            <w:r w:rsidRPr="001B441D">
              <w:rPr>
                <w:rFonts w:eastAsia="Times New Roman" w:cs="Times New Roman"/>
                <w:bCs/>
                <w:sz w:val="24"/>
                <w:szCs w:val="24"/>
              </w:rPr>
              <w:t>Спецификация технической поддержки коммутаторов SN6500</w:t>
            </w:r>
          </w:p>
        </w:tc>
      </w:tr>
      <w:tr w:rsidR="00564E9A" w:rsidRPr="001B441D" w:rsidTr="00444804">
        <w:trPr>
          <w:cantSplit/>
          <w:trHeight w:val="1134"/>
        </w:trPr>
        <w:tc>
          <w:tcPr>
            <w:tcW w:w="562"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 xml:space="preserve">№ </w:t>
            </w:r>
            <w:proofErr w:type="spellStart"/>
            <w:r w:rsidRPr="001B441D">
              <w:rPr>
                <w:rFonts w:eastAsia="Times New Roman" w:cs="Times New Roman"/>
                <w:sz w:val="24"/>
                <w:szCs w:val="24"/>
              </w:rPr>
              <w:t>п.п</w:t>
            </w:r>
            <w:proofErr w:type="spellEnd"/>
            <w:r w:rsidRPr="001B441D">
              <w:rPr>
                <w:rFonts w:eastAsia="Times New Roman" w:cs="Times New Roman"/>
                <w:sz w:val="24"/>
                <w:szCs w:val="24"/>
              </w:rPr>
              <w:t>.</w:t>
            </w:r>
          </w:p>
        </w:tc>
        <w:tc>
          <w:tcPr>
            <w:tcW w:w="5812" w:type="dxa"/>
            <w:gridSpan w:val="2"/>
            <w:tcBorders>
              <w:top w:val="single" w:sz="8" w:space="0" w:color="auto"/>
              <w:left w:val="single" w:sz="4" w:space="0" w:color="auto"/>
              <w:bottom w:val="single" w:sz="4" w:space="0" w:color="000000"/>
              <w:right w:val="nil"/>
            </w:tcBorders>
            <w:shd w:val="clear" w:color="auto" w:fill="auto"/>
            <w:vAlign w:val="center"/>
            <w:hideMark/>
          </w:tcPr>
          <w:p w:rsidR="00564E9A" w:rsidRPr="001B441D" w:rsidRDefault="00564E9A" w:rsidP="00564E9A">
            <w:pPr>
              <w:jc w:val="center"/>
              <w:rPr>
                <w:rFonts w:cs="Times New Roman"/>
                <w:bCs/>
                <w:sz w:val="24"/>
                <w:szCs w:val="24"/>
              </w:rPr>
            </w:pPr>
            <w:r w:rsidRPr="001B441D">
              <w:rPr>
                <w:rFonts w:cs="Times New Roman"/>
                <w:bCs/>
                <w:sz w:val="24"/>
                <w:szCs w:val="24"/>
              </w:rPr>
              <w:t>Наименование оборудования</w:t>
            </w:r>
          </w:p>
        </w:tc>
        <w:tc>
          <w:tcPr>
            <w:tcW w:w="1985" w:type="dxa"/>
            <w:tcBorders>
              <w:top w:val="single" w:sz="8" w:space="0" w:color="auto"/>
              <w:left w:val="single" w:sz="4" w:space="0" w:color="auto"/>
              <w:bottom w:val="single" w:sz="4" w:space="0" w:color="000000"/>
              <w:right w:val="single" w:sz="4" w:space="0" w:color="auto"/>
            </w:tcBorders>
            <w:shd w:val="clear" w:color="auto" w:fill="auto"/>
            <w:vAlign w:val="center"/>
          </w:tcPr>
          <w:p w:rsidR="00564E9A" w:rsidRPr="001B441D" w:rsidRDefault="00564E9A" w:rsidP="00564E9A">
            <w:pPr>
              <w:jc w:val="center"/>
              <w:rPr>
                <w:rFonts w:cs="Times New Roman"/>
                <w:bCs/>
                <w:sz w:val="24"/>
                <w:szCs w:val="24"/>
              </w:rPr>
            </w:pPr>
            <w:r w:rsidRPr="001B441D">
              <w:rPr>
                <w:rFonts w:cs="Times New Roman"/>
                <w:bCs/>
                <w:sz w:val="24"/>
                <w:szCs w:val="24"/>
              </w:rPr>
              <w:t>Серийный номер</w:t>
            </w:r>
          </w:p>
        </w:tc>
        <w:tc>
          <w:tcPr>
            <w:tcW w:w="708" w:type="dxa"/>
            <w:textDirection w:val="btLr"/>
            <w:hideMark/>
          </w:tcPr>
          <w:p w:rsidR="00564E9A" w:rsidRPr="001B441D" w:rsidRDefault="00564E9A" w:rsidP="00564E9A">
            <w:pPr>
              <w:ind w:left="113" w:right="113"/>
              <w:jc w:val="center"/>
              <w:rPr>
                <w:rFonts w:eastAsia="Times New Roman" w:cs="Times New Roman"/>
                <w:sz w:val="24"/>
                <w:szCs w:val="24"/>
              </w:rPr>
            </w:pPr>
            <w:r w:rsidRPr="001B441D">
              <w:rPr>
                <w:rFonts w:eastAsia="Times New Roman" w:cs="Times New Roman"/>
                <w:sz w:val="24"/>
                <w:szCs w:val="24"/>
              </w:rPr>
              <w:t>Количество</w:t>
            </w:r>
          </w:p>
        </w:tc>
        <w:tc>
          <w:tcPr>
            <w:tcW w:w="2127"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Предельная цена за единицу измерения с НДС 20%, включая стоимость тары и доставку, руб.</w:t>
            </w:r>
          </w:p>
        </w:tc>
        <w:tc>
          <w:tcPr>
            <w:tcW w:w="2127"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 xml:space="preserve">Предельная сумма в том числе НДС 20%, включая стоимость тары и доставку, руб. </w:t>
            </w:r>
          </w:p>
        </w:tc>
        <w:tc>
          <w:tcPr>
            <w:tcW w:w="1985" w:type="dxa"/>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Адрес доставки</w:t>
            </w:r>
          </w:p>
        </w:tc>
      </w:tr>
      <w:tr w:rsidR="00564E9A" w:rsidRPr="001B441D" w:rsidTr="00444804">
        <w:trPr>
          <w:trHeight w:val="300"/>
        </w:trPr>
        <w:tc>
          <w:tcPr>
            <w:tcW w:w="562"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1</w:t>
            </w:r>
          </w:p>
        </w:tc>
        <w:tc>
          <w:tcPr>
            <w:tcW w:w="5812" w:type="dxa"/>
            <w:gridSpan w:val="2"/>
            <w:noWrap/>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2</w:t>
            </w:r>
          </w:p>
        </w:tc>
        <w:tc>
          <w:tcPr>
            <w:tcW w:w="1985"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3</w:t>
            </w:r>
          </w:p>
        </w:tc>
        <w:tc>
          <w:tcPr>
            <w:tcW w:w="708"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4</w:t>
            </w:r>
          </w:p>
        </w:tc>
        <w:tc>
          <w:tcPr>
            <w:tcW w:w="2127"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5</w:t>
            </w:r>
          </w:p>
        </w:tc>
        <w:tc>
          <w:tcPr>
            <w:tcW w:w="2127" w:type="dxa"/>
            <w:noWrap/>
            <w:hideMark/>
          </w:tcPr>
          <w:p w:rsidR="00564E9A" w:rsidRPr="001B441D" w:rsidRDefault="00564E9A" w:rsidP="002D01FD">
            <w:pPr>
              <w:jc w:val="center"/>
              <w:rPr>
                <w:rFonts w:eastAsia="Times New Roman" w:cs="Times New Roman"/>
                <w:sz w:val="24"/>
                <w:szCs w:val="24"/>
              </w:rPr>
            </w:pPr>
            <w:r w:rsidRPr="001B441D">
              <w:rPr>
                <w:rFonts w:eastAsia="Times New Roman" w:cs="Times New Roman"/>
                <w:sz w:val="24"/>
                <w:szCs w:val="24"/>
              </w:rPr>
              <w:t>6</w:t>
            </w:r>
          </w:p>
        </w:tc>
        <w:tc>
          <w:tcPr>
            <w:tcW w:w="1985" w:type="dxa"/>
            <w:noWrap/>
            <w:hideMark/>
          </w:tcPr>
          <w:p w:rsidR="00564E9A" w:rsidRPr="001B441D" w:rsidRDefault="00564E9A" w:rsidP="002C2580">
            <w:pPr>
              <w:jc w:val="center"/>
              <w:rPr>
                <w:rFonts w:eastAsia="Times New Roman" w:cs="Times New Roman"/>
                <w:sz w:val="24"/>
                <w:szCs w:val="24"/>
              </w:rPr>
            </w:pPr>
            <w:r w:rsidRPr="001B441D">
              <w:rPr>
                <w:rFonts w:eastAsia="Times New Roman" w:cs="Times New Roman"/>
                <w:sz w:val="24"/>
                <w:szCs w:val="24"/>
              </w:rPr>
              <w:t>7</w:t>
            </w:r>
          </w:p>
        </w:tc>
      </w:tr>
      <w:tr w:rsidR="00564E9A" w:rsidRPr="001B441D" w:rsidTr="00444804">
        <w:trPr>
          <w:trHeight w:val="627"/>
        </w:trPr>
        <w:tc>
          <w:tcPr>
            <w:tcW w:w="562" w:type="dxa"/>
            <w:noWrap/>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1</w:t>
            </w:r>
          </w:p>
        </w:tc>
        <w:tc>
          <w:tcPr>
            <w:tcW w:w="581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64E9A" w:rsidRPr="001B441D" w:rsidRDefault="00564E9A" w:rsidP="00564E9A">
            <w:pPr>
              <w:rPr>
                <w:rFonts w:cs="Times New Roman"/>
                <w:sz w:val="24"/>
                <w:szCs w:val="24"/>
                <w:lang w:val="en-US"/>
              </w:rPr>
            </w:pPr>
            <w:r w:rsidRPr="001B441D">
              <w:rPr>
                <w:rFonts w:cs="Times New Roman"/>
                <w:sz w:val="24"/>
                <w:szCs w:val="24"/>
              </w:rPr>
              <w:t>Коммутатор</w:t>
            </w:r>
            <w:r w:rsidRPr="001B441D">
              <w:rPr>
                <w:rFonts w:cs="Times New Roman"/>
                <w:sz w:val="24"/>
                <w:szCs w:val="24"/>
                <w:lang w:val="en-US"/>
              </w:rPr>
              <w:t xml:space="preserve"> HPE </w:t>
            </w:r>
            <w:proofErr w:type="spellStart"/>
            <w:r w:rsidRPr="001B441D">
              <w:rPr>
                <w:rFonts w:cs="Times New Roman"/>
                <w:sz w:val="24"/>
                <w:szCs w:val="24"/>
                <w:lang w:val="en-US"/>
              </w:rPr>
              <w:t>StoreFabric</w:t>
            </w:r>
            <w:proofErr w:type="spellEnd"/>
            <w:r w:rsidRPr="001B441D">
              <w:rPr>
                <w:rFonts w:cs="Times New Roman"/>
                <w:sz w:val="24"/>
                <w:szCs w:val="24"/>
                <w:lang w:val="en-US"/>
              </w:rPr>
              <w:t xml:space="preserve"> SN6500B (16 </w:t>
            </w:r>
            <w:r w:rsidRPr="001B441D">
              <w:rPr>
                <w:rFonts w:cs="Times New Roman"/>
                <w:sz w:val="24"/>
                <w:szCs w:val="24"/>
              </w:rPr>
              <w:t>Гбит</w:t>
            </w:r>
            <w:r w:rsidRPr="001B441D">
              <w:rPr>
                <w:rFonts w:cs="Times New Roman"/>
                <w:sz w:val="24"/>
                <w:szCs w:val="24"/>
                <w:lang w:val="en-US"/>
              </w:rPr>
              <w:t>) 96/48 Power Pack+ FC PN C8R44A</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564E9A" w:rsidRPr="001B441D" w:rsidRDefault="00564E9A" w:rsidP="00564E9A">
            <w:pPr>
              <w:jc w:val="center"/>
              <w:rPr>
                <w:rFonts w:cs="Times New Roman"/>
                <w:sz w:val="24"/>
                <w:szCs w:val="24"/>
              </w:rPr>
            </w:pPr>
            <w:r w:rsidRPr="001B441D">
              <w:rPr>
                <w:rFonts w:cs="Times New Roman"/>
                <w:sz w:val="24"/>
                <w:szCs w:val="24"/>
              </w:rPr>
              <w:t>CZC301CN8G</w:t>
            </w:r>
          </w:p>
        </w:tc>
        <w:tc>
          <w:tcPr>
            <w:tcW w:w="708" w:type="dxa"/>
            <w:tcBorders>
              <w:top w:val="single" w:sz="4" w:space="0" w:color="auto"/>
              <w:left w:val="nil"/>
              <w:bottom w:val="single" w:sz="4" w:space="0" w:color="auto"/>
              <w:right w:val="single" w:sz="4" w:space="0" w:color="auto"/>
            </w:tcBorders>
            <w:shd w:val="clear" w:color="auto" w:fill="auto"/>
            <w:vAlign w:val="center"/>
          </w:tcPr>
          <w:p w:rsidR="00564E9A" w:rsidRPr="001B441D" w:rsidRDefault="00564E9A" w:rsidP="00564E9A">
            <w:pPr>
              <w:jc w:val="center"/>
              <w:rPr>
                <w:rFonts w:cs="Times New Roman"/>
                <w:sz w:val="24"/>
                <w:szCs w:val="24"/>
              </w:rPr>
            </w:pPr>
            <w:r w:rsidRPr="001B441D">
              <w:rPr>
                <w:rFonts w:cs="Times New Roman"/>
                <w:sz w:val="24"/>
                <w:szCs w:val="24"/>
              </w:rPr>
              <w:t>1</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564E9A" w:rsidRPr="001B441D" w:rsidRDefault="00564E9A" w:rsidP="00564E9A">
            <w:pPr>
              <w:jc w:val="right"/>
              <w:rPr>
                <w:rFonts w:cs="Times New Roman"/>
                <w:bCs/>
                <w:sz w:val="24"/>
                <w:szCs w:val="24"/>
              </w:rPr>
            </w:pPr>
            <w:r w:rsidRPr="001B441D">
              <w:rPr>
                <w:rFonts w:cs="Times New Roman"/>
                <w:bCs/>
                <w:sz w:val="24"/>
                <w:szCs w:val="24"/>
              </w:rPr>
              <w:t>1 051 776,00</w:t>
            </w:r>
          </w:p>
        </w:tc>
        <w:tc>
          <w:tcPr>
            <w:tcW w:w="2127" w:type="dxa"/>
            <w:tcBorders>
              <w:top w:val="single" w:sz="4" w:space="0" w:color="auto"/>
              <w:left w:val="nil"/>
              <w:bottom w:val="single" w:sz="4" w:space="0" w:color="auto"/>
              <w:right w:val="single" w:sz="4" w:space="0" w:color="auto"/>
            </w:tcBorders>
            <w:shd w:val="clear" w:color="auto" w:fill="auto"/>
            <w:vAlign w:val="center"/>
          </w:tcPr>
          <w:p w:rsidR="00564E9A" w:rsidRPr="001B441D" w:rsidRDefault="00564E9A" w:rsidP="00564E9A">
            <w:pPr>
              <w:jc w:val="right"/>
              <w:rPr>
                <w:rFonts w:cs="Times New Roman"/>
                <w:bCs/>
                <w:sz w:val="24"/>
                <w:szCs w:val="24"/>
              </w:rPr>
            </w:pPr>
            <w:r w:rsidRPr="001B441D">
              <w:rPr>
                <w:rFonts w:cs="Times New Roman"/>
                <w:bCs/>
                <w:sz w:val="24"/>
                <w:szCs w:val="24"/>
              </w:rPr>
              <w:t>1 051 776,00</w:t>
            </w:r>
          </w:p>
        </w:tc>
        <w:tc>
          <w:tcPr>
            <w:tcW w:w="1985" w:type="dxa"/>
            <w:vMerge w:val="restart"/>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 xml:space="preserve">Республика Башкортостан,  </w:t>
            </w:r>
          </w:p>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 xml:space="preserve">г. Уфа, ул. Российская 19  </w:t>
            </w:r>
          </w:p>
          <w:p w:rsidR="00564E9A" w:rsidRPr="001B441D" w:rsidRDefault="00564E9A" w:rsidP="00564E9A">
            <w:pPr>
              <w:jc w:val="center"/>
              <w:rPr>
                <w:rFonts w:eastAsia="Times New Roman" w:cs="Times New Roman"/>
                <w:sz w:val="24"/>
                <w:szCs w:val="24"/>
              </w:rPr>
            </w:pPr>
          </w:p>
        </w:tc>
      </w:tr>
      <w:tr w:rsidR="00564E9A" w:rsidRPr="001B441D" w:rsidTr="00444804">
        <w:trPr>
          <w:trHeight w:val="749"/>
        </w:trPr>
        <w:tc>
          <w:tcPr>
            <w:tcW w:w="562" w:type="dxa"/>
            <w:noWrap/>
            <w:hideMark/>
          </w:tcPr>
          <w:p w:rsidR="00564E9A" w:rsidRPr="001B441D" w:rsidRDefault="00564E9A" w:rsidP="00564E9A">
            <w:pPr>
              <w:jc w:val="center"/>
              <w:rPr>
                <w:rFonts w:eastAsia="Times New Roman" w:cs="Times New Roman"/>
                <w:sz w:val="24"/>
                <w:szCs w:val="24"/>
              </w:rPr>
            </w:pPr>
            <w:r w:rsidRPr="001B441D">
              <w:rPr>
                <w:rFonts w:eastAsia="Times New Roman" w:cs="Times New Roman"/>
                <w:sz w:val="24"/>
                <w:szCs w:val="24"/>
              </w:rPr>
              <w:t>2</w:t>
            </w:r>
          </w:p>
        </w:tc>
        <w:tc>
          <w:tcPr>
            <w:tcW w:w="5812" w:type="dxa"/>
            <w:gridSpan w:val="2"/>
            <w:tcBorders>
              <w:top w:val="nil"/>
              <w:left w:val="single" w:sz="4" w:space="0" w:color="auto"/>
              <w:bottom w:val="single" w:sz="4" w:space="0" w:color="auto"/>
              <w:right w:val="single" w:sz="4" w:space="0" w:color="auto"/>
            </w:tcBorders>
            <w:shd w:val="clear" w:color="auto" w:fill="auto"/>
            <w:noWrap/>
            <w:vAlign w:val="center"/>
          </w:tcPr>
          <w:p w:rsidR="00564E9A" w:rsidRPr="001B441D" w:rsidRDefault="00564E9A" w:rsidP="00564E9A">
            <w:pPr>
              <w:rPr>
                <w:rFonts w:cs="Times New Roman"/>
                <w:sz w:val="24"/>
                <w:szCs w:val="24"/>
                <w:lang w:val="en-US"/>
              </w:rPr>
            </w:pPr>
            <w:r w:rsidRPr="001B441D">
              <w:rPr>
                <w:rFonts w:cs="Times New Roman"/>
                <w:sz w:val="24"/>
                <w:szCs w:val="24"/>
              </w:rPr>
              <w:t>Коммутатор</w:t>
            </w:r>
            <w:r w:rsidRPr="001B441D">
              <w:rPr>
                <w:rFonts w:cs="Times New Roman"/>
                <w:sz w:val="24"/>
                <w:szCs w:val="24"/>
                <w:lang w:val="en-US"/>
              </w:rPr>
              <w:t xml:space="preserve"> HPE </w:t>
            </w:r>
            <w:proofErr w:type="spellStart"/>
            <w:r w:rsidRPr="001B441D">
              <w:rPr>
                <w:rFonts w:cs="Times New Roman"/>
                <w:sz w:val="24"/>
                <w:szCs w:val="24"/>
                <w:lang w:val="en-US"/>
              </w:rPr>
              <w:t>StoreFabric</w:t>
            </w:r>
            <w:proofErr w:type="spellEnd"/>
            <w:r w:rsidRPr="001B441D">
              <w:rPr>
                <w:rFonts w:cs="Times New Roman"/>
                <w:sz w:val="24"/>
                <w:szCs w:val="24"/>
                <w:lang w:val="en-US"/>
              </w:rPr>
              <w:t xml:space="preserve"> SN6500B (16 </w:t>
            </w:r>
            <w:r w:rsidRPr="001B441D">
              <w:rPr>
                <w:rFonts w:cs="Times New Roman"/>
                <w:sz w:val="24"/>
                <w:szCs w:val="24"/>
              </w:rPr>
              <w:t>Гбит</w:t>
            </w:r>
            <w:r w:rsidRPr="001B441D">
              <w:rPr>
                <w:rFonts w:cs="Times New Roman"/>
                <w:sz w:val="24"/>
                <w:szCs w:val="24"/>
                <w:lang w:val="en-US"/>
              </w:rPr>
              <w:t>) 96/48 Power Pack+ FC PN C8R44A</w:t>
            </w:r>
          </w:p>
        </w:tc>
        <w:tc>
          <w:tcPr>
            <w:tcW w:w="1985" w:type="dxa"/>
            <w:tcBorders>
              <w:top w:val="nil"/>
              <w:left w:val="nil"/>
              <w:bottom w:val="single" w:sz="4" w:space="0" w:color="auto"/>
              <w:right w:val="single" w:sz="4" w:space="0" w:color="auto"/>
            </w:tcBorders>
            <w:shd w:val="clear" w:color="auto" w:fill="auto"/>
            <w:vAlign w:val="center"/>
          </w:tcPr>
          <w:p w:rsidR="00564E9A" w:rsidRPr="001B441D" w:rsidRDefault="00564E9A" w:rsidP="00564E9A">
            <w:pPr>
              <w:jc w:val="center"/>
              <w:rPr>
                <w:rFonts w:cs="Times New Roman"/>
                <w:sz w:val="24"/>
                <w:szCs w:val="24"/>
              </w:rPr>
            </w:pPr>
            <w:r w:rsidRPr="001B441D">
              <w:rPr>
                <w:rFonts w:cs="Times New Roman"/>
                <w:sz w:val="24"/>
                <w:szCs w:val="24"/>
              </w:rPr>
              <w:t>CZC301CN8H</w:t>
            </w:r>
          </w:p>
        </w:tc>
        <w:tc>
          <w:tcPr>
            <w:tcW w:w="708" w:type="dxa"/>
            <w:tcBorders>
              <w:top w:val="nil"/>
              <w:left w:val="nil"/>
              <w:bottom w:val="single" w:sz="4" w:space="0" w:color="auto"/>
              <w:right w:val="single" w:sz="4" w:space="0" w:color="auto"/>
            </w:tcBorders>
            <w:shd w:val="clear" w:color="auto" w:fill="auto"/>
            <w:vAlign w:val="center"/>
          </w:tcPr>
          <w:p w:rsidR="00564E9A" w:rsidRPr="001B441D" w:rsidRDefault="00564E9A" w:rsidP="00564E9A">
            <w:pPr>
              <w:jc w:val="center"/>
              <w:rPr>
                <w:rFonts w:cs="Times New Roman"/>
                <w:sz w:val="24"/>
                <w:szCs w:val="24"/>
              </w:rPr>
            </w:pPr>
            <w:r w:rsidRPr="001B441D">
              <w:rPr>
                <w:rFonts w:cs="Times New Roman"/>
                <w:sz w:val="24"/>
                <w:szCs w:val="24"/>
              </w:rPr>
              <w:t>1</w:t>
            </w:r>
          </w:p>
        </w:tc>
        <w:tc>
          <w:tcPr>
            <w:tcW w:w="2127" w:type="dxa"/>
            <w:tcBorders>
              <w:top w:val="nil"/>
              <w:left w:val="single" w:sz="4" w:space="0" w:color="auto"/>
              <w:bottom w:val="single" w:sz="4" w:space="0" w:color="auto"/>
              <w:right w:val="single" w:sz="4" w:space="0" w:color="auto"/>
            </w:tcBorders>
            <w:shd w:val="clear" w:color="auto" w:fill="auto"/>
            <w:vAlign w:val="center"/>
          </w:tcPr>
          <w:p w:rsidR="00564E9A" w:rsidRPr="001B441D" w:rsidRDefault="00564E9A" w:rsidP="00564E9A">
            <w:pPr>
              <w:jc w:val="right"/>
              <w:rPr>
                <w:rFonts w:cs="Times New Roman"/>
                <w:bCs/>
                <w:color w:val="auto"/>
                <w:sz w:val="24"/>
                <w:szCs w:val="24"/>
              </w:rPr>
            </w:pPr>
            <w:r w:rsidRPr="001B441D">
              <w:rPr>
                <w:rFonts w:cs="Times New Roman"/>
                <w:bCs/>
                <w:sz w:val="24"/>
                <w:szCs w:val="24"/>
              </w:rPr>
              <w:t>1 051 776,00</w:t>
            </w:r>
          </w:p>
        </w:tc>
        <w:tc>
          <w:tcPr>
            <w:tcW w:w="2127" w:type="dxa"/>
            <w:tcBorders>
              <w:top w:val="nil"/>
              <w:left w:val="nil"/>
              <w:bottom w:val="single" w:sz="4" w:space="0" w:color="auto"/>
              <w:right w:val="single" w:sz="4" w:space="0" w:color="auto"/>
            </w:tcBorders>
            <w:shd w:val="clear" w:color="auto" w:fill="auto"/>
            <w:vAlign w:val="center"/>
          </w:tcPr>
          <w:p w:rsidR="00564E9A" w:rsidRPr="001B441D" w:rsidRDefault="00564E9A" w:rsidP="00564E9A">
            <w:pPr>
              <w:jc w:val="right"/>
              <w:rPr>
                <w:rFonts w:cs="Times New Roman"/>
                <w:bCs/>
                <w:sz w:val="24"/>
                <w:szCs w:val="24"/>
              </w:rPr>
            </w:pPr>
            <w:r w:rsidRPr="001B441D">
              <w:rPr>
                <w:rFonts w:cs="Times New Roman"/>
                <w:bCs/>
                <w:sz w:val="24"/>
                <w:szCs w:val="24"/>
              </w:rPr>
              <w:t>1 051 776,00</w:t>
            </w:r>
          </w:p>
        </w:tc>
        <w:tc>
          <w:tcPr>
            <w:tcW w:w="1985" w:type="dxa"/>
            <w:vMerge/>
          </w:tcPr>
          <w:p w:rsidR="00564E9A" w:rsidRPr="001B441D" w:rsidRDefault="00564E9A" w:rsidP="00564E9A">
            <w:pPr>
              <w:rPr>
                <w:rFonts w:eastAsia="Times New Roman" w:cs="Times New Roman"/>
                <w:sz w:val="24"/>
                <w:szCs w:val="24"/>
              </w:rPr>
            </w:pPr>
          </w:p>
        </w:tc>
      </w:tr>
      <w:tr w:rsidR="00564E9A" w:rsidRPr="001B441D" w:rsidTr="00444804">
        <w:trPr>
          <w:trHeight w:val="285"/>
        </w:trPr>
        <w:tc>
          <w:tcPr>
            <w:tcW w:w="562" w:type="dxa"/>
            <w:noWrap/>
          </w:tcPr>
          <w:p w:rsidR="00564E9A" w:rsidRPr="001B441D" w:rsidRDefault="00564E9A" w:rsidP="00564E9A">
            <w:pPr>
              <w:jc w:val="center"/>
              <w:rPr>
                <w:rFonts w:eastAsia="Times New Roman" w:cs="Times New Roman"/>
                <w:sz w:val="24"/>
                <w:szCs w:val="24"/>
              </w:rPr>
            </w:pPr>
          </w:p>
        </w:tc>
        <w:tc>
          <w:tcPr>
            <w:tcW w:w="10632" w:type="dxa"/>
            <w:gridSpan w:val="5"/>
            <w:tcBorders>
              <w:top w:val="nil"/>
              <w:left w:val="single" w:sz="4" w:space="0" w:color="auto"/>
              <w:bottom w:val="single" w:sz="4" w:space="0" w:color="auto"/>
              <w:right w:val="single" w:sz="4" w:space="0" w:color="auto"/>
            </w:tcBorders>
            <w:shd w:val="clear" w:color="auto" w:fill="auto"/>
            <w:noWrap/>
            <w:vAlign w:val="center"/>
          </w:tcPr>
          <w:p w:rsidR="00564E9A" w:rsidRPr="001B441D" w:rsidRDefault="00564E9A" w:rsidP="00564E9A">
            <w:pPr>
              <w:jc w:val="right"/>
              <w:rPr>
                <w:rFonts w:cs="Times New Roman"/>
                <w:bCs/>
                <w:sz w:val="24"/>
                <w:szCs w:val="24"/>
              </w:rPr>
            </w:pPr>
            <w:r w:rsidRPr="001B441D">
              <w:rPr>
                <w:rFonts w:cs="Times New Roman"/>
                <w:bCs/>
                <w:sz w:val="24"/>
                <w:szCs w:val="24"/>
              </w:rPr>
              <w:t>Итого:</w:t>
            </w:r>
          </w:p>
        </w:tc>
        <w:tc>
          <w:tcPr>
            <w:tcW w:w="2127" w:type="dxa"/>
            <w:tcBorders>
              <w:top w:val="nil"/>
              <w:left w:val="nil"/>
              <w:bottom w:val="single" w:sz="4" w:space="0" w:color="auto"/>
              <w:right w:val="single" w:sz="4" w:space="0" w:color="auto"/>
            </w:tcBorders>
            <w:shd w:val="clear" w:color="auto" w:fill="auto"/>
            <w:vAlign w:val="center"/>
          </w:tcPr>
          <w:p w:rsidR="00564E9A" w:rsidRPr="001B441D" w:rsidRDefault="00564E9A" w:rsidP="00564E9A">
            <w:pPr>
              <w:jc w:val="right"/>
              <w:rPr>
                <w:rFonts w:cs="Times New Roman"/>
                <w:bCs/>
                <w:sz w:val="24"/>
                <w:szCs w:val="24"/>
              </w:rPr>
            </w:pPr>
            <w:r w:rsidRPr="001B441D">
              <w:rPr>
                <w:rFonts w:cs="Times New Roman"/>
                <w:bCs/>
                <w:sz w:val="24"/>
                <w:szCs w:val="24"/>
              </w:rPr>
              <w:t>2 103 552,00</w:t>
            </w:r>
          </w:p>
          <w:p w:rsidR="00564E9A" w:rsidRPr="001B441D" w:rsidRDefault="00564E9A" w:rsidP="00564E9A">
            <w:pPr>
              <w:jc w:val="right"/>
              <w:rPr>
                <w:rFonts w:cs="Times New Roman"/>
                <w:bCs/>
                <w:sz w:val="24"/>
                <w:szCs w:val="24"/>
              </w:rPr>
            </w:pPr>
          </w:p>
        </w:tc>
        <w:tc>
          <w:tcPr>
            <w:tcW w:w="1985" w:type="dxa"/>
          </w:tcPr>
          <w:p w:rsidR="00564E9A" w:rsidRPr="001B441D" w:rsidRDefault="00564E9A" w:rsidP="00564E9A">
            <w:pPr>
              <w:rPr>
                <w:rFonts w:eastAsia="Times New Roman" w:cs="Times New Roman"/>
                <w:sz w:val="24"/>
                <w:szCs w:val="24"/>
              </w:rPr>
            </w:pPr>
          </w:p>
        </w:tc>
      </w:tr>
      <w:tr w:rsidR="00564E9A" w:rsidRPr="001B441D" w:rsidTr="00444804">
        <w:trPr>
          <w:trHeight w:val="342"/>
        </w:trPr>
        <w:tc>
          <w:tcPr>
            <w:tcW w:w="11194" w:type="dxa"/>
            <w:gridSpan w:val="6"/>
            <w:noWrap/>
            <w:hideMark/>
          </w:tcPr>
          <w:p w:rsidR="00564E9A" w:rsidRPr="001B441D" w:rsidRDefault="00564E9A" w:rsidP="001B441D">
            <w:pPr>
              <w:jc w:val="right"/>
              <w:rPr>
                <w:rFonts w:eastAsia="Times New Roman" w:cs="Times New Roman"/>
                <w:sz w:val="24"/>
                <w:szCs w:val="24"/>
              </w:rPr>
            </w:pPr>
            <w:r w:rsidRPr="001B441D">
              <w:rPr>
                <w:rFonts w:eastAsia="Times New Roman" w:cs="Times New Roman"/>
                <w:sz w:val="24"/>
                <w:szCs w:val="24"/>
              </w:rPr>
              <w:t xml:space="preserve">  в </w:t>
            </w:r>
            <w:proofErr w:type="spellStart"/>
            <w:r w:rsidRPr="001B441D">
              <w:rPr>
                <w:rFonts w:eastAsia="Times New Roman" w:cs="Times New Roman"/>
                <w:sz w:val="24"/>
                <w:szCs w:val="24"/>
              </w:rPr>
              <w:t>т.ч</w:t>
            </w:r>
            <w:proofErr w:type="spellEnd"/>
            <w:r w:rsidRPr="001B441D">
              <w:rPr>
                <w:rFonts w:eastAsia="Times New Roman" w:cs="Times New Roman"/>
                <w:sz w:val="24"/>
                <w:szCs w:val="24"/>
              </w:rPr>
              <w:t>. НДС</w:t>
            </w:r>
            <w:r w:rsidR="001B441D" w:rsidRPr="001B441D">
              <w:rPr>
                <w:rFonts w:eastAsia="Times New Roman" w:cs="Times New Roman"/>
                <w:sz w:val="24"/>
                <w:szCs w:val="24"/>
              </w:rPr>
              <w:t xml:space="preserve"> 20 %</w:t>
            </w:r>
          </w:p>
        </w:tc>
        <w:tc>
          <w:tcPr>
            <w:tcW w:w="2127" w:type="dxa"/>
            <w:noWrap/>
            <w:hideMark/>
          </w:tcPr>
          <w:p w:rsidR="00564E9A" w:rsidRPr="001B441D" w:rsidRDefault="001B441D" w:rsidP="00564E9A">
            <w:pPr>
              <w:jc w:val="right"/>
              <w:rPr>
                <w:rFonts w:eastAsia="Times New Roman" w:cs="Times New Roman"/>
                <w:sz w:val="24"/>
                <w:szCs w:val="24"/>
              </w:rPr>
            </w:pPr>
            <w:r w:rsidRPr="001B441D">
              <w:rPr>
                <w:rFonts w:cs="Times New Roman"/>
                <w:iCs/>
                <w:sz w:val="24"/>
                <w:szCs w:val="24"/>
              </w:rPr>
              <w:t>350 592,00</w:t>
            </w:r>
          </w:p>
        </w:tc>
        <w:tc>
          <w:tcPr>
            <w:tcW w:w="1985" w:type="dxa"/>
            <w:hideMark/>
          </w:tcPr>
          <w:p w:rsidR="00564E9A" w:rsidRPr="001B441D" w:rsidRDefault="00564E9A" w:rsidP="002D01FD">
            <w:pPr>
              <w:rPr>
                <w:rFonts w:eastAsia="Times New Roman" w:cs="Times New Roman"/>
                <w:sz w:val="24"/>
                <w:szCs w:val="24"/>
              </w:rPr>
            </w:pPr>
          </w:p>
        </w:tc>
      </w:tr>
      <w:tr w:rsidR="00697EA8" w:rsidRPr="001B441D" w:rsidTr="00444804">
        <w:trPr>
          <w:trHeight w:val="300"/>
        </w:trPr>
        <w:tc>
          <w:tcPr>
            <w:tcW w:w="15306" w:type="dxa"/>
            <w:gridSpan w:val="8"/>
            <w:noWrap/>
            <w:hideMark/>
          </w:tcPr>
          <w:p w:rsidR="002D01FD" w:rsidRPr="001B441D" w:rsidRDefault="002D01FD" w:rsidP="002D01FD">
            <w:pPr>
              <w:rPr>
                <w:rFonts w:eastAsia="Times New Roman" w:cs="Times New Roman"/>
                <w:sz w:val="24"/>
                <w:szCs w:val="24"/>
              </w:rPr>
            </w:pPr>
            <w:r w:rsidRPr="001B441D">
              <w:rPr>
                <w:rFonts w:eastAsia="Times New Roman" w:cs="Times New Roman"/>
                <w:sz w:val="24"/>
                <w:szCs w:val="24"/>
              </w:rPr>
              <w:t xml:space="preserve">Предельная стоимость лота составляет </w:t>
            </w:r>
            <w:r w:rsidR="001B441D" w:rsidRPr="001B441D">
              <w:rPr>
                <w:rFonts w:eastAsia="Times New Roman" w:cs="Times New Roman"/>
                <w:sz w:val="24"/>
                <w:szCs w:val="24"/>
              </w:rPr>
              <w:t xml:space="preserve">2 103 552,00 </w:t>
            </w:r>
            <w:r w:rsidRPr="001B441D">
              <w:rPr>
                <w:rFonts w:eastAsia="Times New Roman" w:cs="Times New Roman"/>
                <w:sz w:val="24"/>
                <w:szCs w:val="24"/>
              </w:rPr>
              <w:t>руб. (с НДС</w:t>
            </w:r>
            <w:r w:rsidR="000F337A" w:rsidRPr="001B441D">
              <w:rPr>
                <w:rFonts w:eastAsia="Times New Roman" w:cs="Times New Roman"/>
                <w:sz w:val="24"/>
                <w:szCs w:val="24"/>
              </w:rPr>
              <w:t xml:space="preserve"> 20%</w:t>
            </w:r>
            <w:r w:rsidRPr="001B441D">
              <w:rPr>
                <w:rFonts w:eastAsia="Times New Roman" w:cs="Times New Roman"/>
                <w:sz w:val="24"/>
                <w:szCs w:val="24"/>
              </w:rPr>
              <w:t>)</w:t>
            </w:r>
          </w:p>
        </w:tc>
      </w:tr>
      <w:tr w:rsidR="001B441D" w:rsidRPr="001B441D" w:rsidTr="00444804">
        <w:trPr>
          <w:trHeight w:val="300"/>
        </w:trPr>
        <w:tc>
          <w:tcPr>
            <w:tcW w:w="15306" w:type="dxa"/>
            <w:gridSpan w:val="8"/>
            <w:noWrap/>
          </w:tcPr>
          <w:p w:rsidR="001B441D" w:rsidRPr="001B441D" w:rsidRDefault="001B441D" w:rsidP="002D01FD">
            <w:pPr>
              <w:rPr>
                <w:rFonts w:eastAsia="Times New Roman" w:cs="Times New Roman"/>
                <w:sz w:val="24"/>
                <w:szCs w:val="24"/>
              </w:rPr>
            </w:pPr>
            <w:r w:rsidRPr="001B441D">
              <w:rPr>
                <w:rFonts w:eastAsia="Times New Roman" w:cs="Times New Roman"/>
                <w:sz w:val="24"/>
                <w:szCs w:val="24"/>
              </w:rPr>
              <w:t>Срок предоставления технической поддержки: 01.05.2019 - 30.04.2020</w:t>
            </w:r>
          </w:p>
        </w:tc>
      </w:tr>
      <w:tr w:rsidR="001B441D" w:rsidRPr="001B441D" w:rsidTr="00444804">
        <w:trPr>
          <w:trHeight w:val="568"/>
        </w:trPr>
        <w:tc>
          <w:tcPr>
            <w:tcW w:w="43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41D" w:rsidRPr="001B441D" w:rsidRDefault="001B441D" w:rsidP="001B441D">
            <w:pPr>
              <w:jc w:val="center"/>
              <w:rPr>
                <w:rFonts w:cs="Times New Roman"/>
                <w:bCs/>
                <w:i/>
                <w:iCs/>
                <w:sz w:val="24"/>
                <w:szCs w:val="24"/>
              </w:rPr>
            </w:pPr>
            <w:r w:rsidRPr="001B441D">
              <w:rPr>
                <w:rFonts w:cs="Times New Roman"/>
                <w:bCs/>
                <w:i/>
                <w:iCs/>
                <w:sz w:val="24"/>
                <w:szCs w:val="24"/>
              </w:rPr>
              <w:t>Условия технической поддержки</w:t>
            </w:r>
          </w:p>
        </w:tc>
        <w:tc>
          <w:tcPr>
            <w:tcW w:w="10916" w:type="dxa"/>
            <w:gridSpan w:val="6"/>
            <w:tcBorders>
              <w:top w:val="single" w:sz="4" w:space="0" w:color="auto"/>
              <w:left w:val="nil"/>
              <w:bottom w:val="single" w:sz="4" w:space="0" w:color="auto"/>
              <w:right w:val="single" w:sz="4" w:space="0" w:color="auto"/>
            </w:tcBorders>
            <w:shd w:val="clear" w:color="auto" w:fill="auto"/>
            <w:vAlign w:val="center"/>
            <w:hideMark/>
          </w:tcPr>
          <w:p w:rsidR="001B441D" w:rsidRPr="001B441D" w:rsidRDefault="001B441D" w:rsidP="001B441D">
            <w:pPr>
              <w:rPr>
                <w:rFonts w:cs="Times New Roman"/>
                <w:bCs/>
                <w:sz w:val="24"/>
                <w:szCs w:val="24"/>
              </w:rPr>
            </w:pPr>
            <w:r w:rsidRPr="001B441D">
              <w:rPr>
                <w:rFonts w:cs="Times New Roman"/>
                <w:bCs/>
                <w:sz w:val="24"/>
                <w:szCs w:val="24"/>
              </w:rPr>
              <w:t xml:space="preserve">- график поддержки HPE </w:t>
            </w:r>
            <w:proofErr w:type="spellStart"/>
            <w:r w:rsidRPr="001B441D">
              <w:rPr>
                <w:rFonts w:cs="Times New Roman"/>
                <w:bCs/>
                <w:sz w:val="24"/>
                <w:szCs w:val="24"/>
              </w:rPr>
              <w:t>Proactive</w:t>
            </w:r>
            <w:proofErr w:type="spellEnd"/>
            <w:r w:rsidRPr="001B441D">
              <w:rPr>
                <w:rFonts w:cs="Times New Roman"/>
                <w:bCs/>
                <w:sz w:val="24"/>
                <w:szCs w:val="24"/>
              </w:rPr>
              <w:t xml:space="preserve"> </w:t>
            </w:r>
            <w:proofErr w:type="spellStart"/>
            <w:r w:rsidRPr="001B441D">
              <w:rPr>
                <w:rFonts w:cs="Times New Roman"/>
                <w:bCs/>
                <w:sz w:val="24"/>
                <w:szCs w:val="24"/>
              </w:rPr>
              <w:t>Care</w:t>
            </w:r>
            <w:proofErr w:type="spellEnd"/>
            <w:r w:rsidRPr="001B441D">
              <w:rPr>
                <w:rFonts w:cs="Times New Roman"/>
                <w:bCs/>
                <w:sz w:val="24"/>
                <w:szCs w:val="24"/>
              </w:rPr>
              <w:t xml:space="preserve"> 24x7</w:t>
            </w:r>
            <w:r w:rsidRPr="001B441D">
              <w:rPr>
                <w:rFonts w:cs="Times New Roman"/>
                <w:bCs/>
                <w:sz w:val="24"/>
                <w:szCs w:val="24"/>
              </w:rPr>
              <w:br/>
              <w:t>- Дистанционная поддержка и диагностика проблем оборудования</w:t>
            </w:r>
            <w:r w:rsidRPr="001B441D">
              <w:rPr>
                <w:rFonts w:cs="Times New Roman"/>
                <w:bCs/>
                <w:sz w:val="24"/>
                <w:szCs w:val="24"/>
              </w:rPr>
              <w:br/>
              <w:t>- Поддержка оборудования с выездом к Заказчику</w:t>
            </w:r>
            <w:r w:rsidRPr="001B441D">
              <w:rPr>
                <w:rFonts w:cs="Times New Roman"/>
                <w:bCs/>
                <w:sz w:val="24"/>
                <w:szCs w:val="24"/>
              </w:rPr>
              <w:br/>
              <w:t>- Предоставление запасных частей</w:t>
            </w:r>
            <w:r w:rsidRPr="001B441D">
              <w:rPr>
                <w:rFonts w:cs="Times New Roman"/>
                <w:bCs/>
                <w:sz w:val="24"/>
                <w:szCs w:val="24"/>
              </w:rPr>
              <w:br/>
              <w:t>- Работа до полного устранения неисправностей при технической поддержке оборудования</w:t>
            </w:r>
            <w:r w:rsidRPr="001B441D">
              <w:rPr>
                <w:rFonts w:cs="Times New Roman"/>
                <w:bCs/>
                <w:sz w:val="24"/>
                <w:szCs w:val="24"/>
              </w:rPr>
              <w:br/>
              <w:t>- Поддержка программного обеспечения</w:t>
            </w:r>
            <w:r w:rsidRPr="001B441D">
              <w:rPr>
                <w:rFonts w:cs="Times New Roman"/>
                <w:bCs/>
                <w:sz w:val="24"/>
                <w:szCs w:val="24"/>
              </w:rPr>
              <w:br/>
              <w:t>- Обновления программных продуктов и документации</w:t>
            </w:r>
          </w:p>
        </w:tc>
      </w:tr>
      <w:tr w:rsidR="001B441D" w:rsidRPr="001B441D" w:rsidTr="00444804">
        <w:trPr>
          <w:trHeight w:val="300"/>
        </w:trPr>
        <w:tc>
          <w:tcPr>
            <w:tcW w:w="43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441D" w:rsidRPr="001B441D" w:rsidRDefault="001B441D" w:rsidP="002E2C72">
            <w:pPr>
              <w:jc w:val="center"/>
              <w:rPr>
                <w:rFonts w:cs="Times New Roman"/>
                <w:bCs/>
                <w:i/>
                <w:iCs/>
                <w:sz w:val="24"/>
                <w:szCs w:val="24"/>
              </w:rPr>
            </w:pPr>
            <w:r w:rsidRPr="001B441D">
              <w:rPr>
                <w:rFonts w:cs="Times New Roman"/>
                <w:bCs/>
                <w:i/>
                <w:iCs/>
                <w:sz w:val="24"/>
                <w:szCs w:val="24"/>
              </w:rPr>
              <w:t xml:space="preserve">Квалификационные критерии участника </w:t>
            </w:r>
            <w:r w:rsidR="002E2C72">
              <w:rPr>
                <w:rFonts w:cs="Times New Roman"/>
                <w:bCs/>
                <w:i/>
                <w:iCs/>
                <w:sz w:val="24"/>
                <w:szCs w:val="24"/>
              </w:rPr>
              <w:t>(</w:t>
            </w:r>
            <w:r w:rsidRPr="001B441D">
              <w:rPr>
                <w:rFonts w:cs="Times New Roman"/>
                <w:bCs/>
                <w:i/>
                <w:iCs/>
                <w:sz w:val="24"/>
                <w:szCs w:val="24"/>
              </w:rPr>
              <w:t>поставщика)</w:t>
            </w:r>
          </w:p>
        </w:tc>
        <w:tc>
          <w:tcPr>
            <w:tcW w:w="109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441D" w:rsidRPr="001B441D" w:rsidRDefault="001B441D" w:rsidP="001B441D">
            <w:pPr>
              <w:rPr>
                <w:rFonts w:cs="Times New Roman"/>
                <w:bCs/>
                <w:sz w:val="24"/>
                <w:szCs w:val="24"/>
              </w:rPr>
            </w:pPr>
            <w:r w:rsidRPr="001B441D">
              <w:rPr>
                <w:rFonts w:cs="Times New Roman"/>
                <w:bCs/>
                <w:sz w:val="24"/>
                <w:szCs w:val="24"/>
              </w:rPr>
              <w:t>Поставщик должен являться сертифицированным партнером HPE</w:t>
            </w:r>
          </w:p>
        </w:tc>
      </w:tr>
      <w:tr w:rsidR="002D01FD" w:rsidRPr="001B441D" w:rsidTr="00444804">
        <w:trPr>
          <w:trHeight w:val="300"/>
        </w:trPr>
        <w:tc>
          <w:tcPr>
            <w:tcW w:w="4390" w:type="dxa"/>
            <w:gridSpan w:val="2"/>
            <w:noWrap/>
            <w:hideMark/>
          </w:tcPr>
          <w:p w:rsidR="002D01FD" w:rsidRPr="001B441D" w:rsidRDefault="00697EA8" w:rsidP="002D01FD">
            <w:pPr>
              <w:jc w:val="center"/>
              <w:rPr>
                <w:rFonts w:eastAsia="Times New Roman" w:cs="Times New Roman"/>
                <w:sz w:val="24"/>
                <w:szCs w:val="24"/>
              </w:rPr>
            </w:pPr>
            <w:r w:rsidRPr="001B441D">
              <w:rPr>
                <w:rFonts w:eastAsia="Times New Roman" w:cs="Times New Roman"/>
                <w:sz w:val="24"/>
                <w:szCs w:val="24"/>
              </w:rPr>
              <w:t>Контактное лицо по тех. в</w:t>
            </w:r>
            <w:r w:rsidR="002D01FD" w:rsidRPr="001B441D">
              <w:rPr>
                <w:rFonts w:eastAsia="Times New Roman" w:cs="Times New Roman"/>
                <w:sz w:val="24"/>
                <w:szCs w:val="24"/>
              </w:rPr>
              <w:t>опросам</w:t>
            </w:r>
          </w:p>
        </w:tc>
        <w:tc>
          <w:tcPr>
            <w:tcW w:w="10916" w:type="dxa"/>
            <w:gridSpan w:val="6"/>
            <w:noWrap/>
            <w:hideMark/>
          </w:tcPr>
          <w:p w:rsidR="00444804" w:rsidRPr="00A27B26" w:rsidRDefault="002D01FD" w:rsidP="00444804">
            <w:pPr>
              <w:rPr>
                <w:rFonts w:eastAsia="Times New Roman" w:cs="Times New Roman"/>
                <w:sz w:val="24"/>
                <w:szCs w:val="24"/>
              </w:rPr>
            </w:pPr>
            <w:r w:rsidRPr="001B441D">
              <w:rPr>
                <w:rFonts w:eastAsia="Times New Roman" w:cs="Times New Roman"/>
                <w:sz w:val="24"/>
                <w:szCs w:val="24"/>
              </w:rPr>
              <w:t>Титлин Л.С.</w:t>
            </w:r>
            <w:r w:rsidR="00697EA8" w:rsidRPr="001B441D">
              <w:rPr>
                <w:rFonts w:cs="Times New Roman"/>
                <w:sz w:val="24"/>
                <w:szCs w:val="24"/>
              </w:rPr>
              <w:t xml:space="preserve"> </w:t>
            </w:r>
            <w:r w:rsidR="00697EA8" w:rsidRPr="001B441D">
              <w:rPr>
                <w:rFonts w:eastAsia="Times New Roman" w:cs="Times New Roman"/>
                <w:sz w:val="24"/>
                <w:szCs w:val="24"/>
              </w:rPr>
              <w:t xml:space="preserve">тел. </w:t>
            </w:r>
            <w:r w:rsidR="00697EA8" w:rsidRPr="00A27B26">
              <w:rPr>
                <w:rFonts w:eastAsia="Times New Roman" w:cs="Times New Roman"/>
                <w:sz w:val="24"/>
                <w:szCs w:val="24"/>
              </w:rPr>
              <w:t xml:space="preserve">+ 7 (347) 221-54-71, </w:t>
            </w:r>
            <w:r w:rsidR="00697EA8" w:rsidRPr="001B441D">
              <w:rPr>
                <w:rFonts w:eastAsia="Times New Roman" w:cs="Times New Roman"/>
                <w:sz w:val="24"/>
                <w:szCs w:val="24"/>
                <w:lang w:val="en-US"/>
              </w:rPr>
              <w:t>e</w:t>
            </w:r>
            <w:r w:rsidR="00697EA8" w:rsidRPr="00A27B26">
              <w:rPr>
                <w:rFonts w:eastAsia="Times New Roman" w:cs="Times New Roman"/>
                <w:sz w:val="24"/>
                <w:szCs w:val="24"/>
              </w:rPr>
              <w:t>-</w:t>
            </w:r>
            <w:r w:rsidR="00697EA8" w:rsidRPr="001B441D">
              <w:rPr>
                <w:rFonts w:eastAsia="Times New Roman" w:cs="Times New Roman"/>
                <w:sz w:val="24"/>
                <w:szCs w:val="24"/>
                <w:lang w:val="en-US"/>
              </w:rPr>
              <w:t>mail</w:t>
            </w:r>
            <w:r w:rsidR="00697EA8" w:rsidRPr="00A27B26">
              <w:rPr>
                <w:rFonts w:eastAsia="Times New Roman" w:cs="Times New Roman"/>
                <w:sz w:val="24"/>
                <w:szCs w:val="24"/>
              </w:rPr>
              <w:t xml:space="preserve">: </w:t>
            </w:r>
            <w:hyperlink r:id="rId50" w:history="1">
              <w:r w:rsidR="00564E9A" w:rsidRPr="001B441D">
                <w:rPr>
                  <w:rStyle w:val="a3"/>
                  <w:rFonts w:eastAsia="Times New Roman" w:cs="Times New Roman"/>
                  <w:sz w:val="24"/>
                  <w:szCs w:val="24"/>
                  <w:lang w:val="en-US"/>
                </w:rPr>
                <w:t>Titlin</w:t>
              </w:r>
              <w:r w:rsidR="00564E9A" w:rsidRPr="00A27B26">
                <w:rPr>
                  <w:rStyle w:val="a3"/>
                  <w:rFonts w:eastAsia="Times New Roman" w:cs="Times New Roman"/>
                  <w:sz w:val="24"/>
                  <w:szCs w:val="24"/>
                </w:rPr>
                <w:t>@</w:t>
              </w:r>
              <w:r w:rsidR="00564E9A" w:rsidRPr="001B441D">
                <w:rPr>
                  <w:rStyle w:val="a3"/>
                  <w:rFonts w:eastAsia="Times New Roman" w:cs="Times New Roman"/>
                  <w:sz w:val="24"/>
                  <w:szCs w:val="24"/>
                  <w:lang w:val="en-US"/>
                </w:rPr>
                <w:t>bashtel</w:t>
              </w:r>
              <w:r w:rsidR="00564E9A" w:rsidRPr="00A27B26">
                <w:rPr>
                  <w:rStyle w:val="a3"/>
                  <w:rFonts w:eastAsia="Times New Roman" w:cs="Times New Roman"/>
                  <w:sz w:val="24"/>
                  <w:szCs w:val="24"/>
                </w:rPr>
                <w:t>.</w:t>
              </w:r>
              <w:proofErr w:type="spellStart"/>
              <w:r w:rsidR="00564E9A" w:rsidRPr="001B441D">
                <w:rPr>
                  <w:rStyle w:val="a3"/>
                  <w:rFonts w:eastAsia="Times New Roman" w:cs="Times New Roman"/>
                  <w:sz w:val="24"/>
                  <w:szCs w:val="24"/>
                  <w:lang w:val="en-US"/>
                </w:rPr>
                <w:t>ru</w:t>
              </w:r>
              <w:proofErr w:type="spellEnd"/>
            </w:hyperlink>
            <w:r w:rsidR="00564E9A" w:rsidRPr="00A27B26">
              <w:rPr>
                <w:rFonts w:eastAsia="Times New Roman" w:cs="Times New Roman"/>
                <w:sz w:val="24"/>
                <w:szCs w:val="24"/>
              </w:rPr>
              <w:t xml:space="preserve">, </w:t>
            </w:r>
          </w:p>
          <w:p w:rsidR="002D01FD" w:rsidRPr="001B441D" w:rsidRDefault="00564E9A" w:rsidP="00444804">
            <w:pPr>
              <w:rPr>
                <w:rFonts w:eastAsia="Times New Roman" w:cs="Times New Roman"/>
                <w:sz w:val="24"/>
                <w:szCs w:val="24"/>
              </w:rPr>
            </w:pPr>
            <w:r w:rsidRPr="00A27B26">
              <w:rPr>
                <w:rFonts w:eastAsia="Times New Roman" w:cs="Times New Roman"/>
                <w:sz w:val="24"/>
                <w:szCs w:val="24"/>
              </w:rPr>
              <w:t xml:space="preserve"> </w:t>
            </w:r>
            <w:r w:rsidRPr="001B441D">
              <w:rPr>
                <w:rFonts w:eastAsia="Times New Roman" w:cs="Times New Roman"/>
                <w:sz w:val="24"/>
                <w:szCs w:val="24"/>
              </w:rPr>
              <w:t xml:space="preserve">Хасанов Марат Рашитович, т. 8-347-221-56-40  </w:t>
            </w:r>
          </w:p>
        </w:tc>
      </w:tr>
    </w:tbl>
    <w:p w:rsidR="002E2C72" w:rsidRDefault="002E2C72" w:rsidP="002E2C7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8" w:name="_Приложение_№_1_1"/>
      <w:bookmarkEnd w:id="118"/>
      <w:r w:rsidRPr="00B73AAF">
        <w:rPr>
          <w:rFonts w:ascii="Times New Roman" w:eastAsia="MS Mincho" w:hAnsi="Times New Roman"/>
          <w:color w:val="17365D"/>
          <w:kern w:val="32"/>
          <w:szCs w:val="24"/>
          <w:lang w:val="x-none" w:eastAsia="x-none"/>
        </w:rPr>
        <w:t>РАЗДЕЛ V. Проект д</w:t>
      </w:r>
      <w:bookmarkStart w:id="119" w:name="договор"/>
      <w:bookmarkEnd w:id="119"/>
      <w:r w:rsidRPr="00B73AAF">
        <w:rPr>
          <w:rFonts w:ascii="Times New Roman" w:eastAsia="MS Mincho" w:hAnsi="Times New Roman"/>
          <w:color w:val="17365D"/>
          <w:kern w:val="32"/>
          <w:szCs w:val="24"/>
          <w:lang w:val="x-none" w:eastAsia="x-none"/>
        </w:rPr>
        <w:t>оговора</w:t>
      </w:r>
    </w:p>
    <w:p w:rsidR="00E47BB7" w:rsidRPr="00444804" w:rsidRDefault="00444804" w:rsidP="00697EA8">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8"/>
          <w:szCs w:val="24"/>
          <w:lang w:eastAsia="x-none"/>
        </w:rPr>
      </w:pPr>
      <w:r w:rsidRPr="00444804">
        <w:rPr>
          <w:rFonts w:ascii="Times New Roman" w:eastAsia="MS Mincho" w:hAnsi="Times New Roman" w:cs="Times New Roman"/>
          <w:bCs/>
          <w:kern w:val="32"/>
          <w:sz w:val="28"/>
          <w:szCs w:val="24"/>
          <w:lang w:eastAsia="x-none"/>
        </w:rPr>
        <w:t>Представлен в отдельном файле «Проект договора»</w:t>
      </w:r>
    </w:p>
    <w:p w:rsidR="002E2C72" w:rsidRPr="00C01D35" w:rsidRDefault="002E2C72"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E2C72" w:rsidRPr="00C01D35" w:rsidSect="00444804">
      <w:pgSz w:w="16839" w:h="11907" w:orient="landscape" w:code="9"/>
      <w:pgMar w:top="1134" w:right="851" w:bottom="567" w:left="567"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B26" w:rsidRDefault="00A27B26" w:rsidP="002516B9">
      <w:pPr>
        <w:spacing w:after="0" w:line="240" w:lineRule="auto"/>
      </w:pPr>
      <w:r>
        <w:separator/>
      </w:r>
    </w:p>
  </w:endnote>
  <w:endnote w:type="continuationSeparator" w:id="0">
    <w:p w:rsidR="00A27B26" w:rsidRDefault="00A27B26"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B26" w:rsidRDefault="00A27B26" w:rsidP="002516B9">
      <w:pPr>
        <w:spacing w:after="0" w:line="240" w:lineRule="auto"/>
      </w:pPr>
      <w:r>
        <w:separator/>
      </w:r>
    </w:p>
  </w:footnote>
  <w:footnote w:type="continuationSeparator" w:id="0">
    <w:p w:rsidR="00A27B26" w:rsidRDefault="00A27B26"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B26" w:rsidRDefault="00A27B26">
    <w:pPr>
      <w:pStyle w:val="a6"/>
      <w:jc w:val="center"/>
    </w:pPr>
    <w:r>
      <w:fldChar w:fldCharType="begin"/>
    </w:r>
    <w:r>
      <w:instrText>PAGE   \* MERGEFORMAT</w:instrText>
    </w:r>
    <w:r>
      <w:fldChar w:fldCharType="separate"/>
    </w:r>
    <w:r w:rsidR="00C837C8">
      <w:rPr>
        <w:noProof/>
      </w:rPr>
      <w:t>21</w:t>
    </w:r>
    <w:r>
      <w:fldChar w:fldCharType="end"/>
    </w:r>
  </w:p>
  <w:p w:rsidR="00A27B26" w:rsidRDefault="00A27B2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B26" w:rsidRDefault="00A27B26">
    <w:pPr>
      <w:pStyle w:val="a6"/>
      <w:jc w:val="center"/>
    </w:pPr>
    <w:r>
      <w:fldChar w:fldCharType="begin"/>
    </w:r>
    <w:r>
      <w:instrText>PAGE   \* MERGEFORMAT</w:instrText>
    </w:r>
    <w:r>
      <w:fldChar w:fldCharType="separate"/>
    </w:r>
    <w:r w:rsidR="007F7D3F">
      <w:rPr>
        <w:noProof/>
      </w:rPr>
      <w:t>48</w:t>
    </w:r>
    <w:r>
      <w:fldChar w:fldCharType="end"/>
    </w:r>
  </w:p>
  <w:p w:rsidR="00A27B26" w:rsidRDefault="00A27B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55DAF"/>
    <w:multiLevelType w:val="hybridMultilevel"/>
    <w:tmpl w:val="3FB2E7C0"/>
    <w:lvl w:ilvl="0" w:tplc="AC6C5F66">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103A54"/>
    <w:multiLevelType w:val="hybridMultilevel"/>
    <w:tmpl w:val="CC8239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BC25A07"/>
    <w:multiLevelType w:val="hybridMultilevel"/>
    <w:tmpl w:val="1C16E0A8"/>
    <w:lvl w:ilvl="0" w:tplc="3340AFB4">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0C43BD"/>
    <w:multiLevelType w:val="hybridMultilevel"/>
    <w:tmpl w:val="17C664CA"/>
    <w:lvl w:ilvl="0" w:tplc="286AE0F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24"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5"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8"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6"/>
  </w:num>
  <w:num w:numId="2">
    <w:abstractNumId w:val="37"/>
  </w:num>
  <w:num w:numId="3">
    <w:abstractNumId w:val="44"/>
  </w:num>
  <w:num w:numId="4">
    <w:abstractNumId w:val="0"/>
  </w:num>
  <w:num w:numId="5">
    <w:abstractNumId w:val="25"/>
  </w:num>
  <w:num w:numId="6">
    <w:abstractNumId w:val="42"/>
  </w:num>
  <w:num w:numId="7">
    <w:abstractNumId w:val="5"/>
  </w:num>
  <w:num w:numId="8">
    <w:abstractNumId w:val="31"/>
  </w:num>
  <w:num w:numId="9">
    <w:abstractNumId w:val="26"/>
  </w:num>
  <w:num w:numId="10">
    <w:abstractNumId w:val="11"/>
  </w:num>
  <w:num w:numId="11">
    <w:abstractNumId w:val="2"/>
  </w:num>
  <w:num w:numId="12">
    <w:abstractNumId w:val="34"/>
  </w:num>
  <w:num w:numId="13">
    <w:abstractNumId w:val="15"/>
  </w:num>
  <w:num w:numId="14">
    <w:abstractNumId w:val="24"/>
  </w:num>
  <w:num w:numId="15">
    <w:abstractNumId w:val="45"/>
  </w:num>
  <w:num w:numId="16">
    <w:abstractNumId w:val="47"/>
  </w:num>
  <w:num w:numId="17">
    <w:abstractNumId w:val="29"/>
  </w:num>
  <w:num w:numId="18">
    <w:abstractNumId w:val="40"/>
  </w:num>
  <w:num w:numId="19">
    <w:abstractNumId w:val="43"/>
  </w:num>
  <w:num w:numId="20">
    <w:abstractNumId w:val="38"/>
  </w:num>
  <w:num w:numId="21">
    <w:abstractNumId w:val="39"/>
  </w:num>
  <w:num w:numId="22">
    <w:abstractNumId w:val="3"/>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5"/>
  </w:num>
  <w:num w:numId="26">
    <w:abstractNumId w:val="9"/>
  </w:num>
  <w:num w:numId="27">
    <w:abstractNumId w:val="33"/>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7"/>
  </w:num>
  <w:num w:numId="33">
    <w:abstractNumId w:val="20"/>
  </w:num>
  <w:num w:numId="34">
    <w:abstractNumId w:val="32"/>
  </w:num>
  <w:num w:numId="35">
    <w:abstractNumId w:val="22"/>
  </w:num>
  <w:num w:numId="36">
    <w:abstractNumId w:val="30"/>
  </w:num>
  <w:num w:numId="37">
    <w:abstractNumId w:val="28"/>
  </w:num>
  <w:num w:numId="38">
    <w:abstractNumId w:val="8"/>
  </w:num>
  <w:num w:numId="39">
    <w:abstractNumId w:val="7"/>
  </w:num>
  <w:num w:numId="40">
    <w:abstractNumId w:val="14"/>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16"/>
  </w:num>
  <w:num w:numId="44">
    <w:abstractNumId w:val="1"/>
  </w:num>
  <w:num w:numId="45">
    <w:abstractNumId w:val="4"/>
  </w:num>
  <w:num w:numId="46">
    <w:abstractNumId w:val="21"/>
  </w:num>
  <w:num w:numId="47">
    <w:abstractNumId w:val="10"/>
  </w:num>
  <w:num w:numId="48">
    <w:abstractNumId w:val="18"/>
  </w:num>
  <w:num w:numId="49">
    <w:abstractNumId w:val="13"/>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B9"/>
    <w:rsid w:val="00095339"/>
    <w:rsid w:val="000F337A"/>
    <w:rsid w:val="001748D5"/>
    <w:rsid w:val="001B441D"/>
    <w:rsid w:val="00243195"/>
    <w:rsid w:val="002516B9"/>
    <w:rsid w:val="00287163"/>
    <w:rsid w:val="002C2580"/>
    <w:rsid w:val="002D01FD"/>
    <w:rsid w:val="002E2C72"/>
    <w:rsid w:val="00376146"/>
    <w:rsid w:val="003C4983"/>
    <w:rsid w:val="003C62F2"/>
    <w:rsid w:val="00406E18"/>
    <w:rsid w:val="00444804"/>
    <w:rsid w:val="0047632E"/>
    <w:rsid w:val="00523E21"/>
    <w:rsid w:val="00564E9A"/>
    <w:rsid w:val="00576DB8"/>
    <w:rsid w:val="0060055A"/>
    <w:rsid w:val="00630ACC"/>
    <w:rsid w:val="0069672D"/>
    <w:rsid w:val="00697EA8"/>
    <w:rsid w:val="00724891"/>
    <w:rsid w:val="007C6545"/>
    <w:rsid w:val="007F7D3F"/>
    <w:rsid w:val="0092709B"/>
    <w:rsid w:val="00951189"/>
    <w:rsid w:val="009A1CF4"/>
    <w:rsid w:val="009D250E"/>
    <w:rsid w:val="009F1684"/>
    <w:rsid w:val="00A27B26"/>
    <w:rsid w:val="00AA7156"/>
    <w:rsid w:val="00AD41C9"/>
    <w:rsid w:val="00AE7539"/>
    <w:rsid w:val="00B355AA"/>
    <w:rsid w:val="00B94EDA"/>
    <w:rsid w:val="00BA5EDE"/>
    <w:rsid w:val="00BB70C0"/>
    <w:rsid w:val="00C01D35"/>
    <w:rsid w:val="00C51924"/>
    <w:rsid w:val="00C837C8"/>
    <w:rsid w:val="00C9358E"/>
    <w:rsid w:val="00CC6A86"/>
    <w:rsid w:val="00D23E1D"/>
    <w:rsid w:val="00D434E2"/>
    <w:rsid w:val="00D457D6"/>
    <w:rsid w:val="00D97366"/>
    <w:rsid w:val="00E4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CD594A6-2C8F-4A94-B4AC-C389DD78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2516B9"/>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2516B9"/>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2516B9"/>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2516B9"/>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2516B9"/>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2516B9"/>
  </w:style>
  <w:style w:type="paragraph" w:customStyle="1" w:styleId="110">
    <w:name w:val="заголовок 11"/>
    <w:basedOn w:val="a"/>
    <w:next w:val="a"/>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2516B9"/>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2516B9"/>
    <w:rPr>
      <w:color w:val="0000FF"/>
      <w:u w:val="single"/>
    </w:rPr>
  </w:style>
  <w:style w:type="paragraph" w:styleId="a4">
    <w:name w:val="List Paragraph"/>
    <w:basedOn w:val="a"/>
    <w:link w:val="a5"/>
    <w:uiPriority w:val="34"/>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2516B9"/>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2516B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2516B9"/>
    <w:rPr>
      <w:rFonts w:ascii="Tahoma" w:eastAsia="Times New Roman" w:hAnsi="Tahoma" w:cs="Tahoma"/>
      <w:sz w:val="16"/>
      <w:szCs w:val="16"/>
      <w:lang w:eastAsia="ru-RU"/>
    </w:rPr>
  </w:style>
  <w:style w:type="table" w:styleId="ac">
    <w:name w:val="Table Grid"/>
    <w:basedOn w:val="a1"/>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2516B9"/>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2516B9"/>
    <w:rPr>
      <w:rFonts w:ascii="Times New Roman" w:eastAsia="Times New Roman" w:hAnsi="Times New Roman" w:cs="Times New Roman"/>
      <w:sz w:val="24"/>
      <w:szCs w:val="24"/>
      <w:lang w:eastAsia="ru-RU"/>
    </w:rPr>
  </w:style>
  <w:style w:type="paragraph" w:styleId="af">
    <w:name w:val="Plain Text"/>
    <w:basedOn w:val="a"/>
    <w:link w:val="af0"/>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2516B9"/>
    <w:rPr>
      <w:rFonts w:ascii="Courier New" w:eastAsia="Times New Roman" w:hAnsi="Courier New" w:cs="Times New Roman"/>
      <w:sz w:val="20"/>
      <w:szCs w:val="20"/>
      <w:lang w:eastAsia="ru-RU"/>
    </w:rPr>
  </w:style>
  <w:style w:type="paragraph" w:customStyle="1" w:styleId="af1">
    <w:name w:val="Таблица шапка"/>
    <w:basedOn w:val="a"/>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2516B9"/>
    <w:rPr>
      <w:rFonts w:ascii="Arial" w:hAnsi="Arial" w:cs="Arial"/>
    </w:rPr>
  </w:style>
  <w:style w:type="paragraph" w:customStyle="1" w:styleId="af3">
    <w:name w:val="Ариал"/>
    <w:basedOn w:val="a"/>
    <w:link w:val="13"/>
    <w:rsid w:val="002516B9"/>
    <w:pPr>
      <w:spacing w:before="120" w:after="120" w:line="360" w:lineRule="auto"/>
      <w:ind w:firstLine="851"/>
      <w:jc w:val="both"/>
    </w:pPr>
    <w:rPr>
      <w:rFonts w:ascii="Arial" w:hAnsi="Arial" w:cs="Arial"/>
    </w:rPr>
  </w:style>
  <w:style w:type="paragraph" w:customStyle="1" w:styleId="af4">
    <w:name w:val="Пункт б/н"/>
    <w:basedOn w:val="a"/>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2516B9"/>
    <w:rPr>
      <w:rFonts w:ascii="Arial" w:hAnsi="Arial" w:cs="Arial"/>
    </w:rPr>
  </w:style>
  <w:style w:type="paragraph" w:customStyle="1" w:styleId="af6">
    <w:name w:val="Ариал Таблица"/>
    <w:basedOn w:val="af3"/>
    <w:link w:val="af5"/>
    <w:rsid w:val="002516B9"/>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2516B9"/>
    <w:rPr>
      <w:rFonts w:ascii="Times New Roman" w:eastAsia="Times New Roman" w:hAnsi="Times New Roman" w:cs="Times New Roman"/>
      <w:sz w:val="20"/>
      <w:szCs w:val="20"/>
      <w:lang w:eastAsia="ru-RU"/>
    </w:rPr>
  </w:style>
  <w:style w:type="character" w:styleId="af9">
    <w:name w:val="footnote reference"/>
    <w:unhideWhenUsed/>
    <w:rsid w:val="002516B9"/>
    <w:rPr>
      <w:vertAlign w:val="superscript"/>
    </w:rPr>
  </w:style>
  <w:style w:type="paragraph" w:customStyle="1" w:styleId="ConsPlusNormal">
    <w:name w:val="ConsPlusNormal"/>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2516B9"/>
  </w:style>
  <w:style w:type="paragraph" w:customStyle="1" w:styleId="rvps46">
    <w:name w:val="rvps46"/>
    <w:basedOn w:val="a"/>
    <w:rsid w:val="002516B9"/>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2516B9"/>
    <w:rPr>
      <w:sz w:val="16"/>
      <w:szCs w:val="16"/>
    </w:rPr>
  </w:style>
  <w:style w:type="paragraph" w:styleId="afc">
    <w:name w:val="annotation text"/>
    <w:basedOn w:val="a"/>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2516B9"/>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2516B9"/>
    <w:rPr>
      <w:b/>
      <w:bCs/>
    </w:rPr>
  </w:style>
  <w:style w:type="character" w:customStyle="1" w:styleId="aff">
    <w:name w:val="Тема примечания Знак"/>
    <w:basedOn w:val="afd"/>
    <w:link w:val="afe"/>
    <w:uiPriority w:val="99"/>
    <w:semiHidden/>
    <w:rsid w:val="002516B9"/>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2516B9"/>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2516B9"/>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2516B9"/>
    <w:rPr>
      <w:rFonts w:ascii="Times New Roman" w:eastAsia="Times New Roman" w:hAnsi="Times New Roman" w:cs="Times New Roman"/>
      <w:i/>
      <w:color w:val="FF0000"/>
      <w:sz w:val="26"/>
      <w:szCs w:val="26"/>
      <w:lang w:eastAsia="ru-RU"/>
    </w:rPr>
  </w:style>
  <w:style w:type="paragraph" w:customStyle="1" w:styleId="aff4">
    <w:name w:val="Пункт"/>
    <w:basedOn w:val="a"/>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2516B9"/>
    <w:pPr>
      <w:spacing w:line="276" w:lineRule="auto"/>
      <w:outlineLvl w:val="9"/>
    </w:pPr>
  </w:style>
  <w:style w:type="paragraph" w:styleId="32">
    <w:name w:val="toc 3"/>
    <w:basedOn w:val="a"/>
    <w:next w:val="a"/>
    <w:autoRedefine/>
    <w:uiPriority w:val="39"/>
    <w:unhideWhenUsed/>
    <w:qFormat/>
    <w:rsid w:val="002516B9"/>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2516B9"/>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2516B9"/>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2516B9"/>
    <w:rPr>
      <w:rFonts w:ascii="Times New Roman" w:eastAsia="Times New Roman" w:hAnsi="Times New Roman" w:cs="Times New Roman"/>
      <w:sz w:val="24"/>
      <w:szCs w:val="24"/>
      <w:lang w:eastAsia="ru-RU"/>
    </w:rPr>
  </w:style>
  <w:style w:type="paragraph" w:styleId="aff6">
    <w:name w:val="Block Text"/>
    <w:basedOn w:val="a"/>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2516B9"/>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2516B9"/>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2516B9"/>
    <w:rPr>
      <w:color w:val="800080"/>
      <w:u w:val="single"/>
    </w:rPr>
  </w:style>
  <w:style w:type="paragraph" w:customStyle="1" w:styleId="Default">
    <w:name w:val="Default"/>
    <w:uiPriority w:val="99"/>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19"/>
      </w:numPr>
    </w:pPr>
  </w:style>
  <w:style w:type="paragraph" w:customStyle="1" w:styleId="CharChar4CharCharCharCharCharChar">
    <w:name w:val="Char Char4 Знак Знак Char Char Знак Знак Char Char Знак Char Char"/>
    <w:basedOn w:val="a"/>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2516B9"/>
    <w:rPr>
      <w:rFonts w:ascii="Times New Roman" w:eastAsia="Times New Roman" w:hAnsi="Times New Roman" w:cs="Times New Roman"/>
      <w:sz w:val="20"/>
      <w:szCs w:val="20"/>
      <w:lang w:eastAsia="ru-RU"/>
    </w:rPr>
  </w:style>
  <w:style w:type="character" w:styleId="affd">
    <w:name w:val="endnote reference"/>
    <w:uiPriority w:val="99"/>
    <w:rsid w:val="002516B9"/>
    <w:rPr>
      <w:vertAlign w:val="superscript"/>
    </w:rPr>
  </w:style>
  <w:style w:type="character" w:styleId="affe">
    <w:name w:val="Placeholder Text"/>
    <w:basedOn w:val="a0"/>
    <w:uiPriority w:val="99"/>
    <w:semiHidden/>
    <w:rsid w:val="002516B9"/>
    <w:rPr>
      <w:color w:val="808080"/>
    </w:rPr>
  </w:style>
  <w:style w:type="character" w:customStyle="1" w:styleId="a5">
    <w:name w:val="Абзац списка Знак"/>
    <w:link w:val="a4"/>
    <w:uiPriority w:val="34"/>
    <w:rsid w:val="00724891"/>
    <w:rPr>
      <w:rFonts w:ascii="Times New Roman" w:eastAsia="Times New Roman" w:hAnsi="Times New Roman" w:cs="Times New Roman"/>
      <w:sz w:val="24"/>
      <w:szCs w:val="24"/>
      <w:lang w:eastAsia="ru-RU"/>
    </w:rPr>
  </w:style>
  <w:style w:type="table" w:styleId="afff">
    <w:name w:val="Grid Table Light"/>
    <w:basedOn w:val="a1"/>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3876">
      <w:bodyDiv w:val="1"/>
      <w:marLeft w:val="0"/>
      <w:marRight w:val="0"/>
      <w:marTop w:val="0"/>
      <w:marBottom w:val="0"/>
      <w:divBdr>
        <w:top w:val="none" w:sz="0" w:space="0" w:color="auto"/>
        <w:left w:val="none" w:sz="0" w:space="0" w:color="auto"/>
        <w:bottom w:val="none" w:sz="0" w:space="0" w:color="auto"/>
        <w:right w:val="none" w:sz="0" w:space="0" w:color="auto"/>
      </w:divBdr>
    </w:div>
    <w:div w:id="6923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itlin@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yperlink" Target="http://zakupki.rostelecom.ru/info_docs/docs/"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image" Target="media/image2.wmf"/><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yperlink" Target="mailto:Titlin@bashtel.ru" TargetMode="Externa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mailto:Titlin@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 TargetMode="External"/><Relationship Id="rId49"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mailto:marat2@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www.bashtel.ru" TargetMode="External"/><Relationship Id="rId30" Type="http://schemas.openxmlformats.org/officeDocument/2006/relationships/hyperlink" Target="mailto:marat2@bashtel.ru" TargetMode="External"/><Relationship Id="rId35" Type="http://schemas.openxmlformats.org/officeDocument/2006/relationships/oleObject" Target="embeddings/oleObject1.bin"/><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51"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C2563DD5FC2D4F1BA8FC7BD8AC32CBB8"/>
        <w:category>
          <w:name w:val="Общие"/>
          <w:gallery w:val="placeholder"/>
        </w:category>
        <w:types>
          <w:type w:val="bbPlcHdr"/>
        </w:types>
        <w:behaviors>
          <w:behavior w:val="content"/>
        </w:behaviors>
        <w:guid w:val="{2304DB08-E88E-4D53-8747-33661DBA3036}"/>
      </w:docPartPr>
      <w:docPartBody>
        <w:p w:rsidR="002D104C" w:rsidRDefault="00AF63C2" w:rsidP="00AF63C2">
          <w:pPr>
            <w:pStyle w:val="C2563DD5FC2D4F1BA8FC7BD8AC32CBB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B1"/>
    <w:rsid w:val="002D104C"/>
    <w:rsid w:val="0030704C"/>
    <w:rsid w:val="00655A4D"/>
    <w:rsid w:val="00AF63C2"/>
    <w:rsid w:val="00E973B1"/>
    <w:rsid w:val="00F1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63C2"/>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C2563DD5FC2D4F1BA8FC7BD8AC32CBB8">
    <w:name w:val="C2563DD5FC2D4F1BA8FC7BD8AC32CBB8"/>
    <w:rsid w:val="00AF6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9805C-B2DC-4793-B0E5-6DF96C6F9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49</Pages>
  <Words>17646</Words>
  <Characters>100587</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14</cp:revision>
  <cp:lastPrinted>2019-03-12T09:28:00Z</cp:lastPrinted>
  <dcterms:created xsi:type="dcterms:W3CDTF">2019-02-01T11:01:00Z</dcterms:created>
  <dcterms:modified xsi:type="dcterms:W3CDTF">2019-03-12T10:00:00Z</dcterms:modified>
</cp:coreProperties>
</file>